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761" w:rsidRPr="00D61761" w:rsidRDefault="00D61761" w:rsidP="00D61761">
      <w:pPr>
        <w:rPr>
          <w:rFonts w:ascii="Times New Roman" w:hAnsi="Times New Roman" w:cs="Times New Roman"/>
          <w:b/>
          <w:sz w:val="32"/>
        </w:rPr>
      </w:pPr>
      <w:bookmarkStart w:id="0" w:name="_GoBack"/>
      <w:r w:rsidRPr="00D61761">
        <w:rPr>
          <w:rFonts w:ascii="Times New Roman" w:hAnsi="Times New Roman" w:cs="Times New Roman"/>
          <w:b/>
          <w:sz w:val="32"/>
        </w:rPr>
        <w:t>Monitoring Drug Efficacy through Multi-</w:t>
      </w:r>
      <w:proofErr w:type="spellStart"/>
      <w:r w:rsidRPr="00D61761">
        <w:rPr>
          <w:rFonts w:ascii="Times New Roman" w:hAnsi="Times New Roman" w:cs="Times New Roman"/>
          <w:b/>
          <w:sz w:val="32"/>
        </w:rPr>
        <w:t>Omics</w:t>
      </w:r>
      <w:proofErr w:type="spellEnd"/>
      <w:r w:rsidRPr="00D61761">
        <w:rPr>
          <w:rFonts w:ascii="Times New Roman" w:hAnsi="Times New Roman" w:cs="Times New Roman"/>
          <w:b/>
          <w:sz w:val="32"/>
        </w:rPr>
        <w:t xml:space="preserve"> Research Initiative in </w:t>
      </w:r>
      <w:proofErr w:type="gramStart"/>
      <w:r w:rsidRPr="00D61761">
        <w:rPr>
          <w:rFonts w:ascii="Times New Roman" w:hAnsi="Times New Roman" w:cs="Times New Roman"/>
          <w:b/>
          <w:sz w:val="32"/>
        </w:rPr>
        <w:t>Alzheimer’s Disease</w:t>
      </w:r>
      <w:proofErr w:type="gramEnd"/>
      <w:r w:rsidRPr="00D61761">
        <w:rPr>
          <w:rFonts w:ascii="Times New Roman" w:hAnsi="Times New Roman" w:cs="Times New Roman"/>
          <w:b/>
          <w:sz w:val="32"/>
        </w:rPr>
        <w:t xml:space="preserve"> (MEMORI-AD): Protocol for multisite, exploratory, prospective cohort study on the drug response-related clinical, genetic, microbial</w:t>
      </w:r>
      <w:r w:rsidR="00246D70">
        <w:rPr>
          <w:rFonts w:ascii="Times New Roman" w:hAnsi="Times New Roman" w:cs="Times New Roman"/>
          <w:b/>
          <w:sz w:val="32"/>
        </w:rPr>
        <w:t xml:space="preserve"> and</w:t>
      </w:r>
      <w:r w:rsidRPr="00D61761">
        <w:rPr>
          <w:rFonts w:ascii="Times New Roman" w:hAnsi="Times New Roman" w:cs="Times New Roman"/>
          <w:b/>
          <w:sz w:val="32"/>
        </w:rPr>
        <w:t xml:space="preserve"> metabolomics signatures in Filipino patients with Alzheimer’s Disease</w:t>
      </w:r>
    </w:p>
    <w:p w:rsidR="00D61761" w:rsidRPr="00D61761" w:rsidRDefault="00D61761" w:rsidP="00D61761">
      <w:pPr>
        <w:rPr>
          <w:rFonts w:ascii="Times New Roman" w:hAnsi="Times New Roman" w:cs="Times New Roman"/>
          <w:sz w:val="24"/>
        </w:rPr>
      </w:pPr>
      <w:proofErr w:type="spellStart"/>
      <w:r>
        <w:rPr>
          <w:rFonts w:ascii="Times New Roman" w:hAnsi="Times New Roman" w:cs="Times New Roman"/>
          <w:sz w:val="24"/>
        </w:rPr>
        <w:t>Fresthel</w:t>
      </w:r>
      <w:proofErr w:type="spellEnd"/>
      <w:r>
        <w:rPr>
          <w:rFonts w:ascii="Times New Roman" w:hAnsi="Times New Roman" w:cs="Times New Roman"/>
          <w:sz w:val="24"/>
        </w:rPr>
        <w:t xml:space="preserve"> Monica M. </w:t>
      </w:r>
      <w:proofErr w:type="spellStart"/>
      <w:r>
        <w:rPr>
          <w:rFonts w:ascii="Times New Roman" w:hAnsi="Times New Roman" w:cs="Times New Roman"/>
          <w:sz w:val="24"/>
        </w:rPr>
        <w:t>Climacosa</w:t>
      </w:r>
      <w:proofErr w:type="spellEnd"/>
    </w:p>
    <w:p w:rsidR="00D61761" w:rsidRPr="00D61761" w:rsidRDefault="00D61761" w:rsidP="00D61761">
      <w:pPr>
        <w:rPr>
          <w:rFonts w:ascii="Times New Roman" w:hAnsi="Times New Roman" w:cs="Times New Roman"/>
        </w:rPr>
      </w:pPr>
      <w:r w:rsidRPr="00D61761">
        <w:rPr>
          <w:rFonts w:ascii="Times New Roman" w:hAnsi="Times New Roman" w:cs="Times New Roman"/>
        </w:rPr>
        <w:t>University of the Philippines Manila, Philippines</w:t>
      </w:r>
    </w:p>
    <w:p w:rsidR="00D61761" w:rsidRPr="00D61761" w:rsidRDefault="00D61761" w:rsidP="00D61761">
      <w:pPr>
        <w:jc w:val="center"/>
        <w:rPr>
          <w:rFonts w:ascii="Times New Roman" w:hAnsi="Times New Roman" w:cs="Times New Roman"/>
          <w:b/>
          <w:sz w:val="24"/>
        </w:rPr>
      </w:pPr>
      <w:r w:rsidRPr="00D61761">
        <w:rPr>
          <w:rFonts w:ascii="Times New Roman" w:hAnsi="Times New Roman" w:cs="Times New Roman"/>
          <w:b/>
          <w:sz w:val="24"/>
        </w:rPr>
        <w:t>Abstract</w:t>
      </w:r>
    </w:p>
    <w:p w:rsidR="00D61761" w:rsidRPr="00D61761" w:rsidRDefault="00D61761" w:rsidP="00D61761">
      <w:pPr>
        <w:jc w:val="both"/>
        <w:rPr>
          <w:rFonts w:ascii="Times New Roman" w:hAnsi="Times New Roman" w:cs="Times New Roman"/>
          <w:sz w:val="20"/>
        </w:rPr>
      </w:pPr>
      <w:r w:rsidRPr="00D61761">
        <w:rPr>
          <w:rFonts w:ascii="Times New Roman" w:hAnsi="Times New Roman" w:cs="Times New Roman"/>
          <w:b/>
          <w:sz w:val="20"/>
        </w:rPr>
        <w:t>Introduction:</w:t>
      </w:r>
      <w:r w:rsidRPr="00D61761">
        <w:rPr>
          <w:rFonts w:ascii="Times New Roman" w:hAnsi="Times New Roman" w:cs="Times New Roman"/>
          <w:sz w:val="20"/>
        </w:rPr>
        <w:t xml:space="preserve"> In the Philippines, it has been estimated that 10.6% of individuals aged 60 years and above have dementia, with 85.5% eventually being diagnosed as Alzheimer’s disease (AD). Recommended drugs approved for dementia include </w:t>
      </w:r>
      <w:proofErr w:type="spellStart"/>
      <w:r w:rsidRPr="00D61761">
        <w:rPr>
          <w:rFonts w:ascii="Times New Roman" w:hAnsi="Times New Roman" w:cs="Times New Roman"/>
          <w:sz w:val="20"/>
        </w:rPr>
        <w:t>Acetylcholinesterase</w:t>
      </w:r>
      <w:proofErr w:type="spellEnd"/>
      <w:r w:rsidRPr="00D61761">
        <w:rPr>
          <w:rFonts w:ascii="Times New Roman" w:hAnsi="Times New Roman" w:cs="Times New Roman"/>
          <w:sz w:val="20"/>
        </w:rPr>
        <w:t xml:space="preserve"> </w:t>
      </w:r>
      <w:r w:rsidRPr="00D61761">
        <w:rPr>
          <w:rFonts w:ascii="Times New Roman" w:hAnsi="Times New Roman" w:cs="Times New Roman"/>
          <w:sz w:val="20"/>
        </w:rPr>
        <w:t>(</w:t>
      </w:r>
      <w:proofErr w:type="spellStart"/>
      <w:r w:rsidRPr="00D61761">
        <w:rPr>
          <w:rFonts w:ascii="Times New Roman" w:hAnsi="Times New Roman" w:cs="Times New Roman"/>
          <w:sz w:val="20"/>
        </w:rPr>
        <w:t>AChE</w:t>
      </w:r>
      <w:proofErr w:type="spellEnd"/>
      <w:r w:rsidRPr="00D61761">
        <w:rPr>
          <w:rFonts w:ascii="Times New Roman" w:hAnsi="Times New Roman" w:cs="Times New Roman"/>
          <w:sz w:val="20"/>
        </w:rPr>
        <w:t xml:space="preserve">) inhibitors, like </w:t>
      </w:r>
      <w:proofErr w:type="spellStart"/>
      <w:r w:rsidRPr="00D61761">
        <w:rPr>
          <w:rFonts w:ascii="Times New Roman" w:hAnsi="Times New Roman" w:cs="Times New Roman"/>
          <w:sz w:val="20"/>
        </w:rPr>
        <w:t>rivastigmine</w:t>
      </w:r>
      <w:proofErr w:type="spellEnd"/>
      <w:r w:rsidRPr="00D61761">
        <w:rPr>
          <w:rFonts w:ascii="Times New Roman" w:hAnsi="Times New Roman" w:cs="Times New Roman"/>
          <w:sz w:val="20"/>
        </w:rPr>
        <w:t>, donepezil</w:t>
      </w:r>
      <w:r w:rsidR="00246D70">
        <w:rPr>
          <w:rFonts w:ascii="Times New Roman" w:hAnsi="Times New Roman" w:cs="Times New Roman"/>
          <w:sz w:val="20"/>
        </w:rPr>
        <w:t xml:space="preserve"> and</w:t>
      </w:r>
      <w:r w:rsidRPr="00D61761">
        <w:rPr>
          <w:rFonts w:ascii="Times New Roman" w:hAnsi="Times New Roman" w:cs="Times New Roman"/>
          <w:sz w:val="20"/>
        </w:rPr>
        <w:t xml:space="preserve"> </w:t>
      </w:r>
      <w:proofErr w:type="spellStart"/>
      <w:r w:rsidRPr="00D61761">
        <w:rPr>
          <w:rFonts w:ascii="Times New Roman" w:hAnsi="Times New Roman" w:cs="Times New Roman"/>
          <w:sz w:val="20"/>
        </w:rPr>
        <w:t>galantamine</w:t>
      </w:r>
      <w:proofErr w:type="spellEnd"/>
      <w:r w:rsidRPr="00D61761">
        <w:rPr>
          <w:rFonts w:ascii="Times New Roman" w:hAnsi="Times New Roman" w:cs="Times New Roman"/>
          <w:sz w:val="20"/>
        </w:rPr>
        <w:t xml:space="preserve"> that</w:t>
      </w:r>
      <w:r w:rsidRPr="00D61761">
        <w:rPr>
          <w:rFonts w:ascii="Times New Roman" w:hAnsi="Times New Roman" w:cs="Times New Roman"/>
          <w:sz w:val="20"/>
        </w:rPr>
        <w:t xml:space="preserve"> is prescribed as </w:t>
      </w:r>
      <w:proofErr w:type="spellStart"/>
      <w:r w:rsidRPr="00D61761">
        <w:rPr>
          <w:rFonts w:ascii="Times New Roman" w:hAnsi="Times New Roman" w:cs="Times New Roman"/>
          <w:sz w:val="20"/>
        </w:rPr>
        <w:t>monotherapy</w:t>
      </w:r>
      <w:proofErr w:type="spellEnd"/>
      <w:r w:rsidRPr="00D61761">
        <w:rPr>
          <w:rFonts w:ascii="Times New Roman" w:hAnsi="Times New Roman" w:cs="Times New Roman"/>
          <w:sz w:val="20"/>
        </w:rPr>
        <w:t xml:space="preserve"> or combined with </w:t>
      </w:r>
      <w:proofErr w:type="spellStart"/>
      <w:r w:rsidRPr="00D61761">
        <w:rPr>
          <w:rFonts w:ascii="Times New Roman" w:hAnsi="Times New Roman" w:cs="Times New Roman"/>
          <w:sz w:val="20"/>
        </w:rPr>
        <w:t>memantine</w:t>
      </w:r>
      <w:proofErr w:type="spellEnd"/>
      <w:r w:rsidRPr="00D61761">
        <w:rPr>
          <w:rFonts w:ascii="Times New Roman" w:hAnsi="Times New Roman" w:cs="Times New Roman"/>
          <w:sz w:val="20"/>
        </w:rPr>
        <w:t xml:space="preserve"> for moderate and severe AD. There is currently no available study demonstrating the clinical effects of these drugs for AD in the Filipino population. This study aims to characterize the clinical, genetic, </w:t>
      </w:r>
      <w:proofErr w:type="gramStart"/>
      <w:r w:rsidRPr="00D61761">
        <w:rPr>
          <w:rFonts w:ascii="Times New Roman" w:hAnsi="Times New Roman" w:cs="Times New Roman"/>
          <w:sz w:val="20"/>
        </w:rPr>
        <w:t>microbial</w:t>
      </w:r>
      <w:proofErr w:type="gramEnd"/>
      <w:r w:rsidR="00246D70">
        <w:rPr>
          <w:rFonts w:ascii="Times New Roman" w:hAnsi="Times New Roman" w:cs="Times New Roman"/>
          <w:sz w:val="20"/>
        </w:rPr>
        <w:t xml:space="preserve"> and</w:t>
      </w:r>
      <w:r w:rsidRPr="00D61761">
        <w:rPr>
          <w:rFonts w:ascii="Times New Roman" w:hAnsi="Times New Roman" w:cs="Times New Roman"/>
          <w:sz w:val="20"/>
        </w:rPr>
        <w:t xml:space="preserve"> </w:t>
      </w:r>
      <w:proofErr w:type="spellStart"/>
      <w:r w:rsidRPr="00D61761">
        <w:rPr>
          <w:rFonts w:ascii="Times New Roman" w:hAnsi="Times New Roman" w:cs="Times New Roman"/>
          <w:sz w:val="20"/>
        </w:rPr>
        <w:t>metabolomic</w:t>
      </w:r>
      <w:proofErr w:type="spellEnd"/>
      <w:r w:rsidRPr="00D61761">
        <w:rPr>
          <w:rFonts w:ascii="Times New Roman" w:hAnsi="Times New Roman" w:cs="Times New Roman"/>
          <w:sz w:val="20"/>
        </w:rPr>
        <w:t xml:space="preserve"> factors associated with drug response to an </w:t>
      </w:r>
      <w:proofErr w:type="spellStart"/>
      <w:r w:rsidRPr="00D61761">
        <w:rPr>
          <w:rFonts w:ascii="Times New Roman" w:hAnsi="Times New Roman" w:cs="Times New Roman"/>
          <w:sz w:val="20"/>
        </w:rPr>
        <w:t>AChE</w:t>
      </w:r>
      <w:proofErr w:type="spellEnd"/>
      <w:r w:rsidRPr="00D61761">
        <w:rPr>
          <w:rFonts w:ascii="Times New Roman" w:hAnsi="Times New Roman" w:cs="Times New Roman"/>
          <w:sz w:val="20"/>
        </w:rPr>
        <w:t xml:space="preserve"> inhibitor (donepezil) alone or in combination with an NMDA receptor antagonist (</w:t>
      </w:r>
      <w:proofErr w:type="spellStart"/>
      <w:r w:rsidRPr="00D61761">
        <w:rPr>
          <w:rFonts w:ascii="Times New Roman" w:hAnsi="Times New Roman" w:cs="Times New Roman"/>
          <w:sz w:val="20"/>
        </w:rPr>
        <w:t>memantine</w:t>
      </w:r>
      <w:proofErr w:type="spellEnd"/>
      <w:r w:rsidRPr="00D61761">
        <w:rPr>
          <w:rFonts w:ascii="Times New Roman" w:hAnsi="Times New Roman" w:cs="Times New Roman"/>
          <w:sz w:val="20"/>
        </w:rPr>
        <w:t>) for Filipinos with late-onset AD.</w:t>
      </w:r>
    </w:p>
    <w:p w:rsidR="00474203" w:rsidRDefault="00D61761" w:rsidP="00D61761">
      <w:pPr>
        <w:jc w:val="both"/>
        <w:rPr>
          <w:rFonts w:ascii="Times New Roman" w:hAnsi="Times New Roman" w:cs="Times New Roman"/>
          <w:sz w:val="20"/>
        </w:rPr>
      </w:pPr>
      <w:r w:rsidRPr="00D61761">
        <w:rPr>
          <w:rFonts w:ascii="Times New Roman" w:hAnsi="Times New Roman" w:cs="Times New Roman"/>
          <w:b/>
          <w:sz w:val="20"/>
        </w:rPr>
        <w:t>Methods and analysis:</w:t>
      </w:r>
      <w:r w:rsidRPr="00D61761">
        <w:rPr>
          <w:rFonts w:ascii="Times New Roman" w:hAnsi="Times New Roman" w:cs="Times New Roman"/>
          <w:sz w:val="20"/>
        </w:rPr>
        <w:t xml:space="preserve"> This is a multisite, descriptive, prospective cohort study among Filipino patients diagnosed with AD. The study will utilize two study designs: </w:t>
      </w:r>
      <w:proofErr w:type="spellStart"/>
      <w:r w:rsidRPr="00D61761">
        <w:rPr>
          <w:rFonts w:ascii="Times New Roman" w:hAnsi="Times New Roman" w:cs="Times New Roman"/>
          <w:sz w:val="20"/>
        </w:rPr>
        <w:t>i</w:t>
      </w:r>
      <w:proofErr w:type="spellEnd"/>
      <w:r w:rsidRPr="00D61761">
        <w:rPr>
          <w:rFonts w:ascii="Times New Roman" w:hAnsi="Times New Roman" w:cs="Times New Roman"/>
          <w:sz w:val="20"/>
        </w:rPr>
        <w:t xml:space="preserve">) a descriptive, cross-sectional study to characterize the clinical profile of Filipino dementia patients with AD and ii) an exploratory prospective cohort study to investigate drug response-related genetic, gut </w:t>
      </w:r>
      <w:proofErr w:type="spellStart"/>
      <w:r w:rsidRPr="00D61761">
        <w:rPr>
          <w:rFonts w:ascii="Times New Roman" w:hAnsi="Times New Roman" w:cs="Times New Roman"/>
          <w:sz w:val="20"/>
        </w:rPr>
        <w:t>microbiome</w:t>
      </w:r>
      <w:proofErr w:type="spellEnd"/>
      <w:r w:rsidR="00246D70">
        <w:rPr>
          <w:rFonts w:ascii="Times New Roman" w:hAnsi="Times New Roman" w:cs="Times New Roman"/>
          <w:sz w:val="20"/>
        </w:rPr>
        <w:t xml:space="preserve"> and</w:t>
      </w:r>
      <w:r w:rsidRPr="00D61761">
        <w:rPr>
          <w:rFonts w:ascii="Times New Roman" w:hAnsi="Times New Roman" w:cs="Times New Roman"/>
          <w:sz w:val="20"/>
        </w:rPr>
        <w:t xml:space="preserve"> </w:t>
      </w:r>
      <w:proofErr w:type="spellStart"/>
      <w:r w:rsidRPr="00D61761">
        <w:rPr>
          <w:rFonts w:ascii="Times New Roman" w:hAnsi="Times New Roman" w:cs="Times New Roman"/>
          <w:sz w:val="20"/>
        </w:rPr>
        <w:t>metabolome</w:t>
      </w:r>
      <w:proofErr w:type="spellEnd"/>
      <w:r w:rsidRPr="00D61761">
        <w:rPr>
          <w:rFonts w:ascii="Times New Roman" w:hAnsi="Times New Roman" w:cs="Times New Roman"/>
          <w:sz w:val="20"/>
        </w:rPr>
        <w:t xml:space="preserve"> signatures of a subset of the recruited AD patients. At least 153 patients with dementia aged 65 years old and above will be recruited regardless of their treatment status</w:t>
      </w:r>
      <w:r>
        <w:rPr>
          <w:rFonts w:ascii="Times New Roman" w:hAnsi="Times New Roman" w:cs="Times New Roman"/>
          <w:sz w:val="20"/>
        </w:rPr>
        <w:t>. A subset of these patients (n</w:t>
      </w:r>
      <w:r w:rsidRPr="00D61761">
        <w:rPr>
          <w:rFonts w:ascii="Times New Roman" w:hAnsi="Times New Roman" w:cs="Times New Roman"/>
          <w:sz w:val="20"/>
        </w:rPr>
        <w:t>=60) who meet inclusion and exclusion criteria will be included further in the exploratory cohort study. These patients will be grouped according to their baseline medications and will be observed for treatment response for 6 months. The cognitive, functional</w:t>
      </w:r>
      <w:r w:rsidR="00246D70">
        <w:rPr>
          <w:rFonts w:ascii="Times New Roman" w:hAnsi="Times New Roman" w:cs="Times New Roman"/>
          <w:sz w:val="20"/>
        </w:rPr>
        <w:t xml:space="preserve"> and</w:t>
      </w:r>
      <w:r w:rsidRPr="00D61761">
        <w:rPr>
          <w:rFonts w:ascii="Times New Roman" w:hAnsi="Times New Roman" w:cs="Times New Roman"/>
          <w:sz w:val="20"/>
        </w:rPr>
        <w:t xml:space="preserve"> behavioral domains of patients and family functioning will be measured using different assessment tools. Drug responses of Filipino patients will then be investigated employing multi</w:t>
      </w:r>
      <w:r>
        <w:rPr>
          <w:rFonts w:ascii="Times New Roman" w:hAnsi="Times New Roman" w:cs="Times New Roman"/>
          <w:sz w:val="20"/>
        </w:rPr>
        <w:t xml:space="preserve"> </w:t>
      </w:r>
      <w:r w:rsidRPr="00D61761">
        <w:rPr>
          <w:rFonts w:ascii="Times New Roman" w:hAnsi="Times New Roman" w:cs="Times New Roman"/>
          <w:sz w:val="20"/>
        </w:rPr>
        <w:t xml:space="preserve">OMICs technology to characterize genetic variations </w:t>
      </w:r>
      <w:r w:rsidRPr="00246D70">
        <w:rPr>
          <w:rFonts w:ascii="Times New Roman" w:hAnsi="Times New Roman" w:cs="Times New Roman"/>
          <w:i/>
          <w:sz w:val="20"/>
        </w:rPr>
        <w:t>via</w:t>
      </w:r>
      <w:r w:rsidRPr="00D61761">
        <w:rPr>
          <w:rFonts w:ascii="Times New Roman" w:hAnsi="Times New Roman" w:cs="Times New Roman"/>
          <w:sz w:val="20"/>
        </w:rPr>
        <w:t xml:space="preserve"> whole </w:t>
      </w:r>
      <w:proofErr w:type="spellStart"/>
      <w:r w:rsidRPr="00D61761">
        <w:rPr>
          <w:rFonts w:ascii="Times New Roman" w:hAnsi="Times New Roman" w:cs="Times New Roman"/>
          <w:sz w:val="20"/>
        </w:rPr>
        <w:t>exome</w:t>
      </w:r>
      <w:proofErr w:type="spellEnd"/>
      <w:r w:rsidRPr="00D61761">
        <w:rPr>
          <w:rFonts w:ascii="Times New Roman" w:hAnsi="Times New Roman" w:cs="Times New Roman"/>
          <w:sz w:val="20"/>
        </w:rPr>
        <w:t xml:space="preserve"> sequencing, gut </w:t>
      </w:r>
      <w:proofErr w:type="spellStart"/>
      <w:r w:rsidRPr="00D61761">
        <w:rPr>
          <w:rFonts w:ascii="Times New Roman" w:hAnsi="Times New Roman" w:cs="Times New Roman"/>
          <w:sz w:val="20"/>
        </w:rPr>
        <w:t>microbiome</w:t>
      </w:r>
      <w:proofErr w:type="spellEnd"/>
      <w:r w:rsidRPr="00D61761">
        <w:rPr>
          <w:rFonts w:ascii="Times New Roman" w:hAnsi="Times New Roman" w:cs="Times New Roman"/>
          <w:sz w:val="20"/>
        </w:rPr>
        <w:t xml:space="preserve"> profile </w:t>
      </w:r>
      <w:r w:rsidRPr="00D61761">
        <w:rPr>
          <w:rFonts w:ascii="Times New Roman" w:hAnsi="Times New Roman" w:cs="Times New Roman"/>
          <w:i/>
          <w:sz w:val="20"/>
        </w:rPr>
        <w:t>via</w:t>
      </w:r>
      <w:r w:rsidRPr="00D61761">
        <w:rPr>
          <w:rFonts w:ascii="Times New Roman" w:hAnsi="Times New Roman" w:cs="Times New Roman"/>
          <w:sz w:val="20"/>
        </w:rPr>
        <w:t xml:space="preserve"> shotgun </w:t>
      </w:r>
      <w:proofErr w:type="spellStart"/>
      <w:r w:rsidRPr="00D61761">
        <w:rPr>
          <w:rFonts w:ascii="Times New Roman" w:hAnsi="Times New Roman" w:cs="Times New Roman"/>
          <w:sz w:val="20"/>
        </w:rPr>
        <w:t>metagenomic</w:t>
      </w:r>
      <w:proofErr w:type="spellEnd"/>
      <w:r w:rsidRPr="00D61761">
        <w:rPr>
          <w:rFonts w:ascii="Times New Roman" w:hAnsi="Times New Roman" w:cs="Times New Roman"/>
          <w:sz w:val="20"/>
        </w:rPr>
        <w:t xml:space="preserve"> sequencing</w:t>
      </w:r>
      <w:r w:rsidR="00246D70">
        <w:rPr>
          <w:rFonts w:ascii="Times New Roman" w:hAnsi="Times New Roman" w:cs="Times New Roman"/>
          <w:sz w:val="20"/>
        </w:rPr>
        <w:t xml:space="preserve"> and</w:t>
      </w:r>
      <w:r w:rsidRPr="00D61761">
        <w:rPr>
          <w:rFonts w:ascii="Times New Roman" w:hAnsi="Times New Roman" w:cs="Times New Roman"/>
          <w:sz w:val="20"/>
        </w:rPr>
        <w:t xml:space="preserve"> </w:t>
      </w:r>
      <w:proofErr w:type="spellStart"/>
      <w:r w:rsidRPr="00D61761">
        <w:rPr>
          <w:rFonts w:ascii="Times New Roman" w:hAnsi="Times New Roman" w:cs="Times New Roman"/>
          <w:sz w:val="20"/>
        </w:rPr>
        <w:t>metabolome</w:t>
      </w:r>
      <w:proofErr w:type="spellEnd"/>
      <w:r w:rsidRPr="00D61761">
        <w:rPr>
          <w:rFonts w:ascii="Times New Roman" w:hAnsi="Times New Roman" w:cs="Times New Roman"/>
          <w:sz w:val="20"/>
        </w:rPr>
        <w:t xml:space="preserve"> profile </w:t>
      </w:r>
      <w:r w:rsidRPr="00D61761">
        <w:rPr>
          <w:rFonts w:ascii="Times New Roman" w:hAnsi="Times New Roman" w:cs="Times New Roman"/>
          <w:i/>
          <w:sz w:val="20"/>
        </w:rPr>
        <w:t>via</w:t>
      </w:r>
      <w:r w:rsidRPr="00D61761">
        <w:rPr>
          <w:rFonts w:ascii="Times New Roman" w:hAnsi="Times New Roman" w:cs="Times New Roman"/>
          <w:sz w:val="20"/>
        </w:rPr>
        <w:t xml:space="preserve"> </w:t>
      </w:r>
      <w:r w:rsidRPr="00D61761">
        <w:rPr>
          <w:rFonts w:ascii="Times New Roman" w:hAnsi="Times New Roman" w:cs="Times New Roman"/>
          <w:sz w:val="20"/>
        </w:rPr>
        <w:t xml:space="preserve">Liquid Chromatography </w:t>
      </w:r>
      <w:r w:rsidRPr="00D61761">
        <w:rPr>
          <w:rFonts w:ascii="Times New Roman" w:hAnsi="Times New Roman" w:cs="Times New Roman"/>
          <w:sz w:val="20"/>
        </w:rPr>
        <w:t xml:space="preserve">with tandem </w:t>
      </w:r>
      <w:r w:rsidRPr="00D61761">
        <w:rPr>
          <w:rFonts w:ascii="Times New Roman" w:hAnsi="Times New Roman" w:cs="Times New Roman"/>
          <w:sz w:val="20"/>
        </w:rPr>
        <w:t xml:space="preserve">Mass Spectrometry </w:t>
      </w:r>
      <w:r w:rsidRPr="00D61761">
        <w:rPr>
          <w:rFonts w:ascii="Times New Roman" w:hAnsi="Times New Roman" w:cs="Times New Roman"/>
          <w:sz w:val="20"/>
        </w:rPr>
        <w:t>(LC-MS/MS)</w:t>
      </w:r>
      <w:r w:rsidR="00246D70">
        <w:rPr>
          <w:rFonts w:ascii="Times New Roman" w:hAnsi="Times New Roman" w:cs="Times New Roman"/>
          <w:sz w:val="20"/>
        </w:rPr>
        <w:t xml:space="preserve"> [Figure 1]</w:t>
      </w:r>
      <w:r w:rsidRPr="00D61761">
        <w:rPr>
          <w:rFonts w:ascii="Times New Roman" w:hAnsi="Times New Roman" w:cs="Times New Roman"/>
          <w:sz w:val="20"/>
        </w:rPr>
        <w:t>.</w:t>
      </w:r>
    </w:p>
    <w:p w:rsidR="00D61761" w:rsidRDefault="00D61761" w:rsidP="00D61761">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0771565" wp14:editId="337C9045">
            <wp:extent cx="3729162" cy="1693627"/>
            <wp:effectExtent l="0" t="0" r="508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37049" cy="1697209"/>
                    </a:xfrm>
                    <a:prstGeom prst="rect">
                      <a:avLst/>
                    </a:prstGeom>
                    <a:noFill/>
                  </pic:spPr>
                </pic:pic>
              </a:graphicData>
            </a:graphic>
          </wp:inline>
        </w:drawing>
      </w:r>
    </w:p>
    <w:p w:rsidR="00D61761" w:rsidRPr="00D61761" w:rsidRDefault="00D61761" w:rsidP="00D61761">
      <w:pPr>
        <w:jc w:val="center"/>
        <w:rPr>
          <w:rFonts w:ascii="Times New Roman" w:hAnsi="Times New Roman" w:cs="Times New Roman"/>
          <w:i/>
          <w:sz w:val="18"/>
        </w:rPr>
      </w:pPr>
      <w:proofErr w:type="gramStart"/>
      <w:r w:rsidRPr="00D61761">
        <w:rPr>
          <w:rFonts w:ascii="Times New Roman" w:hAnsi="Times New Roman" w:cs="Times New Roman"/>
          <w:b/>
          <w:i/>
          <w:sz w:val="18"/>
        </w:rPr>
        <w:t>Figure 1.</w:t>
      </w:r>
      <w:proofErr w:type="gramEnd"/>
      <w:r w:rsidRPr="00D61761">
        <w:rPr>
          <w:rFonts w:ascii="Times New Roman" w:hAnsi="Times New Roman" w:cs="Times New Roman"/>
          <w:i/>
          <w:sz w:val="18"/>
        </w:rPr>
        <w:t xml:space="preserve"> </w:t>
      </w:r>
      <w:proofErr w:type="gramStart"/>
      <w:r w:rsidRPr="00D61761">
        <w:rPr>
          <w:rFonts w:ascii="Times New Roman" w:hAnsi="Times New Roman" w:cs="Times New Roman"/>
          <w:i/>
          <w:sz w:val="18"/>
        </w:rPr>
        <w:t xml:space="preserve">MEMORI-AD </w:t>
      </w:r>
      <w:r w:rsidR="00246D70" w:rsidRPr="00D61761">
        <w:rPr>
          <w:rFonts w:ascii="Times New Roman" w:hAnsi="Times New Roman" w:cs="Times New Roman"/>
          <w:i/>
          <w:sz w:val="18"/>
        </w:rPr>
        <w:t>workflow</w:t>
      </w:r>
      <w:r w:rsidRPr="00D61761">
        <w:rPr>
          <w:rFonts w:ascii="Times New Roman" w:hAnsi="Times New Roman" w:cs="Times New Roman"/>
          <w:i/>
          <w:sz w:val="18"/>
        </w:rPr>
        <w:t>.</w:t>
      </w:r>
      <w:proofErr w:type="gramEnd"/>
      <w:r w:rsidRPr="00D61761">
        <w:rPr>
          <w:rFonts w:ascii="Times New Roman" w:hAnsi="Times New Roman" w:cs="Times New Roman"/>
          <w:i/>
          <w:sz w:val="18"/>
        </w:rPr>
        <w:t xml:space="preserve"> This study will recruit at least 153 patients with dementia aged 65 years old and above. Patients who meet inclusion and exclusion criteria will be enrolled and their </w:t>
      </w:r>
      <w:proofErr w:type="spellStart"/>
      <w:r w:rsidRPr="00D61761">
        <w:rPr>
          <w:rFonts w:ascii="Times New Roman" w:hAnsi="Times New Roman" w:cs="Times New Roman"/>
          <w:i/>
          <w:sz w:val="18"/>
        </w:rPr>
        <w:t>sociodemographic</w:t>
      </w:r>
      <w:proofErr w:type="spellEnd"/>
      <w:r w:rsidRPr="00D61761">
        <w:rPr>
          <w:rFonts w:ascii="Times New Roman" w:hAnsi="Times New Roman" w:cs="Times New Roman"/>
          <w:i/>
          <w:sz w:val="18"/>
        </w:rPr>
        <w:t xml:space="preserve"> and clinical profiles will be </w:t>
      </w:r>
      <w:r w:rsidRPr="00D61761">
        <w:rPr>
          <w:rFonts w:ascii="Times New Roman" w:hAnsi="Times New Roman" w:cs="Times New Roman"/>
          <w:i/>
          <w:sz w:val="18"/>
        </w:rPr>
        <w:lastRenderedPageBreak/>
        <w:t xml:space="preserve">recorded. A subset of recruited AD patients will be followed up for further observation as part of the exploratory prospective cohort to investigate gene, gut </w:t>
      </w:r>
      <w:proofErr w:type="spellStart"/>
      <w:r w:rsidRPr="00D61761">
        <w:rPr>
          <w:rFonts w:ascii="Times New Roman" w:hAnsi="Times New Roman" w:cs="Times New Roman"/>
          <w:i/>
          <w:sz w:val="18"/>
        </w:rPr>
        <w:t>microbiome</w:t>
      </w:r>
      <w:proofErr w:type="spellEnd"/>
      <w:r w:rsidRPr="00D61761">
        <w:rPr>
          <w:rFonts w:ascii="Times New Roman" w:hAnsi="Times New Roman" w:cs="Times New Roman"/>
          <w:i/>
          <w:sz w:val="18"/>
        </w:rPr>
        <w:t xml:space="preserve"> and gut </w:t>
      </w:r>
      <w:proofErr w:type="spellStart"/>
      <w:r w:rsidRPr="00D61761">
        <w:rPr>
          <w:rFonts w:ascii="Times New Roman" w:hAnsi="Times New Roman" w:cs="Times New Roman"/>
          <w:i/>
          <w:sz w:val="18"/>
        </w:rPr>
        <w:t>metabolome</w:t>
      </w:r>
      <w:proofErr w:type="spellEnd"/>
      <w:r w:rsidRPr="00D61761">
        <w:rPr>
          <w:rFonts w:ascii="Times New Roman" w:hAnsi="Times New Roman" w:cs="Times New Roman"/>
          <w:i/>
          <w:sz w:val="18"/>
        </w:rPr>
        <w:t xml:space="preserve"> signatures for treatment response. Patients will be observed at baseline, month 3 and month 6 follow-up.</w:t>
      </w:r>
    </w:p>
    <w:p w:rsidR="00D61761" w:rsidRPr="00D61761" w:rsidRDefault="00D61761" w:rsidP="00D61761">
      <w:pPr>
        <w:rPr>
          <w:rFonts w:ascii="Times New Roman" w:hAnsi="Times New Roman" w:cs="Times New Roman"/>
          <w:b/>
          <w:sz w:val="24"/>
        </w:rPr>
      </w:pPr>
      <w:r w:rsidRPr="00D61761">
        <w:rPr>
          <w:rFonts w:ascii="Times New Roman" w:hAnsi="Times New Roman" w:cs="Times New Roman"/>
          <w:b/>
          <w:sz w:val="24"/>
        </w:rPr>
        <w:t xml:space="preserve">Biography </w:t>
      </w:r>
    </w:p>
    <w:p w:rsidR="00D61761" w:rsidRPr="00D61761" w:rsidRDefault="00D61761" w:rsidP="00D61761">
      <w:pPr>
        <w:jc w:val="both"/>
        <w:rPr>
          <w:rFonts w:ascii="Times New Roman" w:hAnsi="Times New Roman" w:cs="Times New Roman"/>
          <w:sz w:val="20"/>
        </w:rPr>
      </w:pPr>
      <w:proofErr w:type="spellStart"/>
      <w:r w:rsidRPr="00D61761">
        <w:rPr>
          <w:rFonts w:ascii="Times New Roman" w:hAnsi="Times New Roman" w:cs="Times New Roman"/>
          <w:sz w:val="20"/>
        </w:rPr>
        <w:t>Fresthel</w:t>
      </w:r>
      <w:proofErr w:type="spellEnd"/>
      <w:r w:rsidRPr="00D61761">
        <w:rPr>
          <w:rFonts w:ascii="Times New Roman" w:hAnsi="Times New Roman" w:cs="Times New Roman"/>
          <w:sz w:val="20"/>
        </w:rPr>
        <w:t xml:space="preserve"> </w:t>
      </w:r>
      <w:proofErr w:type="spellStart"/>
      <w:r w:rsidRPr="00D61761">
        <w:rPr>
          <w:rFonts w:ascii="Times New Roman" w:hAnsi="Times New Roman" w:cs="Times New Roman"/>
          <w:sz w:val="20"/>
        </w:rPr>
        <w:t>Climacosa</w:t>
      </w:r>
      <w:proofErr w:type="spellEnd"/>
      <w:r w:rsidRPr="00D61761">
        <w:rPr>
          <w:rFonts w:ascii="Times New Roman" w:hAnsi="Times New Roman" w:cs="Times New Roman"/>
          <w:sz w:val="20"/>
        </w:rPr>
        <w:t xml:space="preserve"> is a highly respected researcher in the field of molecular medicine in the Philippines, with a particular focus on immunology of microbial diseases. She received her Doctor of </w:t>
      </w:r>
      <w:r>
        <w:rPr>
          <w:rFonts w:ascii="Times New Roman" w:hAnsi="Times New Roman" w:cs="Times New Roman"/>
          <w:sz w:val="20"/>
        </w:rPr>
        <w:t>Medicine</w:t>
      </w:r>
      <w:r w:rsidRPr="00D61761">
        <w:rPr>
          <w:rFonts w:ascii="Times New Roman" w:hAnsi="Times New Roman" w:cs="Times New Roman"/>
          <w:sz w:val="20"/>
        </w:rPr>
        <w:t>–Doctor of Philosophy in Molecular Medicine in 2018 from the University of the Philippines College of Medicine and was awarded as the Most Outstanding MD-PhD Graduate, garnering the Most Outstanding MD-PhD Dissertation</w:t>
      </w:r>
      <w:r w:rsidR="00246D70">
        <w:rPr>
          <w:rFonts w:ascii="Times New Roman" w:hAnsi="Times New Roman" w:cs="Times New Roman"/>
          <w:sz w:val="20"/>
        </w:rPr>
        <w:t xml:space="preserve"> and</w:t>
      </w:r>
      <w:r w:rsidRPr="00D61761">
        <w:rPr>
          <w:rFonts w:ascii="Times New Roman" w:hAnsi="Times New Roman" w:cs="Times New Roman"/>
          <w:sz w:val="20"/>
        </w:rPr>
        <w:t xml:space="preserve"> an Academic Distinction in Medicine. She has since published numerous articles in various scientific journals and conferences. She is currently an associate professor in the College of Public Health, University of the Philippines Manila while handling several researches as the principal investigator and project consultant. </w:t>
      </w:r>
      <w:r>
        <w:rPr>
          <w:rFonts w:ascii="Times New Roman" w:hAnsi="Times New Roman" w:cs="Times New Roman"/>
          <w:sz w:val="20"/>
        </w:rPr>
        <w:t>She</w:t>
      </w:r>
      <w:r w:rsidRPr="00D61761">
        <w:rPr>
          <w:rFonts w:ascii="Times New Roman" w:hAnsi="Times New Roman" w:cs="Times New Roman"/>
          <w:sz w:val="20"/>
        </w:rPr>
        <w:t xml:space="preserve"> was one of the awardees of the UNCTAD Young Female Scientist </w:t>
      </w:r>
      <w:proofErr w:type="spellStart"/>
      <w:r w:rsidRPr="00D61761">
        <w:rPr>
          <w:rFonts w:ascii="Times New Roman" w:hAnsi="Times New Roman" w:cs="Times New Roman"/>
          <w:sz w:val="20"/>
        </w:rPr>
        <w:t>Programme</w:t>
      </w:r>
      <w:proofErr w:type="spellEnd"/>
      <w:r w:rsidRPr="00D61761">
        <w:rPr>
          <w:rFonts w:ascii="Times New Roman" w:hAnsi="Times New Roman" w:cs="Times New Roman"/>
          <w:sz w:val="20"/>
        </w:rPr>
        <w:t xml:space="preserve"> last 2022 and is committed to improving health research in the Philippines.</w:t>
      </w:r>
      <w:bookmarkEnd w:id="0"/>
    </w:p>
    <w:sectPr w:rsidR="00D61761" w:rsidRPr="00D617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761"/>
    <w:rsid w:val="00246D70"/>
    <w:rsid w:val="0032354D"/>
    <w:rsid w:val="00474203"/>
    <w:rsid w:val="00535872"/>
    <w:rsid w:val="00924B33"/>
    <w:rsid w:val="00D61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17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176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17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17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584</Words>
  <Characters>3334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2023-04-10T11:23:00Z</dcterms:created>
  <dcterms:modified xsi:type="dcterms:W3CDTF">2023-04-10T11:38:00Z</dcterms:modified>
</cp:coreProperties>
</file>