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4BE9C" w14:textId="2F7F47CC" w:rsidR="00EF2B94" w:rsidRDefault="00EF2B94" w:rsidP="00EF2B94">
      <w:pPr>
        <w:spacing w:after="200" w:line="276" w:lineRule="auto"/>
        <w:rPr>
          <w:rFonts w:ascii="Times New Roman" w:eastAsia="Minion Pro" w:hAnsi="Times New Roman" w:cs="Times New Roman"/>
          <w:b/>
          <w:sz w:val="32"/>
          <w:szCs w:val="24"/>
        </w:rPr>
      </w:pPr>
      <w:bookmarkStart w:id="0" w:name="_GoBack"/>
      <w:r w:rsidRPr="00EF2B94">
        <w:rPr>
          <w:rFonts w:ascii="Times New Roman" w:eastAsia="Minion Pro" w:hAnsi="Times New Roman" w:cs="Times New Roman"/>
          <w:b/>
          <w:sz w:val="32"/>
          <w:szCs w:val="24"/>
        </w:rPr>
        <w:t xml:space="preserve">Utility of </w:t>
      </w:r>
      <w:proofErr w:type="spellStart"/>
      <w:r w:rsidRPr="00EF2B94">
        <w:rPr>
          <w:rFonts w:ascii="Times New Roman" w:eastAsia="Minion Pro" w:hAnsi="Times New Roman" w:cs="Times New Roman"/>
          <w:b/>
          <w:sz w:val="32"/>
          <w:szCs w:val="24"/>
        </w:rPr>
        <w:t>CholIndex</w:t>
      </w:r>
      <w:proofErr w:type="spellEnd"/>
      <w:r w:rsidRPr="00EF2B94">
        <w:rPr>
          <w:rFonts w:ascii="Times New Roman" w:eastAsia="Minion Pro" w:hAnsi="Times New Roman" w:cs="Times New Roman"/>
          <w:b/>
          <w:sz w:val="32"/>
          <w:szCs w:val="24"/>
        </w:rPr>
        <w:t xml:space="preserve"> and </w:t>
      </w:r>
      <w:proofErr w:type="spellStart"/>
      <w:r w:rsidRPr="00EF2B94">
        <w:rPr>
          <w:rFonts w:ascii="Times New Roman" w:eastAsia="Minion Pro" w:hAnsi="Times New Roman" w:cs="Times New Roman"/>
          <w:b/>
          <w:sz w:val="32"/>
          <w:szCs w:val="24"/>
        </w:rPr>
        <w:t>Castelli</w:t>
      </w:r>
      <w:proofErr w:type="spellEnd"/>
      <w:r w:rsidRPr="00EF2B94">
        <w:rPr>
          <w:rFonts w:ascii="Times New Roman" w:eastAsia="Minion Pro" w:hAnsi="Times New Roman" w:cs="Times New Roman"/>
          <w:b/>
          <w:sz w:val="32"/>
          <w:szCs w:val="24"/>
        </w:rPr>
        <w:t xml:space="preserve"> risk indices in diabetes mellitus assessment</w:t>
      </w:r>
      <w:r w:rsidRPr="00EF2B94">
        <w:rPr>
          <w:rFonts w:ascii="Times New Roman" w:eastAsia="Minion Pro" w:hAnsi="Times New Roman" w:cs="Times New Roman"/>
          <w:b/>
          <w:sz w:val="32"/>
          <w:szCs w:val="24"/>
        </w:rPr>
        <w:t xml:space="preserve"> </w:t>
      </w:r>
    </w:p>
    <w:p w14:paraId="00263028" w14:textId="02512FA0" w:rsidR="00E552D3" w:rsidRPr="00EF2B94" w:rsidRDefault="00EF2B94" w:rsidP="00EF2B94">
      <w:pPr>
        <w:spacing w:after="200" w:line="276" w:lineRule="auto"/>
        <w:rPr>
          <w:rFonts w:ascii="Times New Roman" w:eastAsia="Arial" w:hAnsi="Times New Roman" w:cs="Times New Roman"/>
          <w:bCs/>
          <w:sz w:val="24"/>
          <w:szCs w:val="24"/>
        </w:rPr>
      </w:pPr>
      <w:proofErr w:type="spellStart"/>
      <w:r w:rsidRPr="00EF2B94">
        <w:rPr>
          <w:rFonts w:ascii="Times New Roman" w:eastAsia="Arial" w:hAnsi="Times New Roman" w:cs="Times New Roman"/>
          <w:bCs/>
          <w:sz w:val="24"/>
          <w:szCs w:val="24"/>
        </w:rPr>
        <w:t>Simona</w:t>
      </w:r>
      <w:proofErr w:type="spellEnd"/>
      <w:r w:rsidRPr="00EF2B9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proofErr w:type="spellStart"/>
      <w:r w:rsidRPr="00EF2B94">
        <w:rPr>
          <w:rFonts w:ascii="Times New Roman" w:eastAsia="Arial" w:hAnsi="Times New Roman" w:cs="Times New Roman"/>
          <w:bCs/>
          <w:sz w:val="24"/>
          <w:szCs w:val="24"/>
        </w:rPr>
        <w:t>Opris</w:t>
      </w:r>
      <w:proofErr w:type="spellEnd"/>
      <w:r>
        <w:rPr>
          <w:rFonts w:ascii="Times New Roman" w:eastAsia="Arial" w:hAnsi="Times New Roman" w:cs="Times New Roman"/>
          <w:bCs/>
          <w:sz w:val="24"/>
          <w:szCs w:val="24"/>
        </w:rPr>
        <w:t>*</w:t>
      </w:r>
      <w:r w:rsidR="00261A16" w:rsidRPr="00EF2B9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="00261A16" w:rsidRPr="00EF2B94">
        <w:rPr>
          <w:rFonts w:ascii="Times New Roman" w:eastAsia="Arial" w:hAnsi="Times New Roman" w:cs="Times New Roman"/>
          <w:sz w:val="24"/>
          <w:szCs w:val="24"/>
        </w:rPr>
        <w:t>and</w:t>
      </w:r>
      <w:r w:rsidR="00261A16" w:rsidRPr="00EF2B9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proofErr w:type="spellStart"/>
      <w:r w:rsidRPr="00EF2B94">
        <w:rPr>
          <w:rFonts w:ascii="Times New Roman" w:eastAsia="Arial" w:hAnsi="Times New Roman" w:cs="Times New Roman"/>
          <w:bCs/>
          <w:sz w:val="24"/>
          <w:szCs w:val="24"/>
        </w:rPr>
        <w:t>Gianina</w:t>
      </w:r>
      <w:proofErr w:type="spellEnd"/>
      <w:r w:rsidRPr="00EF2B94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proofErr w:type="spellStart"/>
      <w:r w:rsidRPr="00EF2B94">
        <w:rPr>
          <w:rFonts w:ascii="Times New Roman" w:eastAsia="Arial" w:hAnsi="Times New Roman" w:cs="Times New Roman"/>
          <w:bCs/>
          <w:sz w:val="24"/>
          <w:szCs w:val="24"/>
        </w:rPr>
        <w:t>Constantin</w:t>
      </w:r>
      <w:proofErr w:type="spellEnd"/>
    </w:p>
    <w:p w14:paraId="6FE6C7B8" w14:textId="576D16B0" w:rsidR="00E552D3" w:rsidRPr="00EF2B94" w:rsidRDefault="00EF2B94" w:rsidP="00EF2B94">
      <w:pPr>
        <w:spacing w:after="200" w:line="276" w:lineRule="auto"/>
        <w:rPr>
          <w:rFonts w:ascii="Times New Roman" w:eastAsia="Arial" w:hAnsi="Times New Roman" w:cs="Times New Roman"/>
          <w:szCs w:val="24"/>
        </w:rPr>
      </w:pPr>
      <w:r w:rsidRPr="00EF2B94">
        <w:rPr>
          <w:rFonts w:ascii="Times New Roman" w:eastAsia="Arial" w:hAnsi="Times New Roman" w:cs="Times New Roman"/>
          <w:szCs w:val="24"/>
        </w:rPr>
        <w:t xml:space="preserve">National Institute of Gerontology and Geriatrics "Ana </w:t>
      </w:r>
      <w:proofErr w:type="spellStart"/>
      <w:r w:rsidRPr="00EF2B94">
        <w:rPr>
          <w:rFonts w:ascii="Times New Roman" w:eastAsia="Arial" w:hAnsi="Times New Roman" w:cs="Times New Roman"/>
          <w:szCs w:val="24"/>
        </w:rPr>
        <w:t>Aslan</w:t>
      </w:r>
      <w:proofErr w:type="spellEnd"/>
      <w:r w:rsidRPr="00EF2B94">
        <w:rPr>
          <w:rFonts w:ascii="Times New Roman" w:eastAsia="Arial" w:hAnsi="Times New Roman" w:cs="Times New Roman"/>
          <w:szCs w:val="24"/>
        </w:rPr>
        <w:t xml:space="preserve">", </w:t>
      </w:r>
      <w:r w:rsidRPr="00EF2B94">
        <w:rPr>
          <w:rFonts w:ascii="Times New Roman" w:eastAsia="Arial" w:hAnsi="Times New Roman" w:cs="Times New Roman"/>
          <w:szCs w:val="24"/>
        </w:rPr>
        <w:t xml:space="preserve">Romania </w:t>
      </w:r>
    </w:p>
    <w:p w14:paraId="587A5118" w14:textId="55156F5C" w:rsidR="00E552D3" w:rsidRPr="00EF2B94" w:rsidRDefault="00EF2B94" w:rsidP="00EF2B94">
      <w:pPr>
        <w:spacing w:after="20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F2B94">
        <w:rPr>
          <w:rFonts w:ascii="Times New Roman" w:eastAsia="Arial" w:hAnsi="Times New Roman" w:cs="Times New Roman"/>
          <w:b/>
          <w:sz w:val="24"/>
          <w:szCs w:val="24"/>
        </w:rPr>
        <w:t>Abstract</w:t>
      </w:r>
    </w:p>
    <w:p w14:paraId="4ACBCCF2" w14:textId="0F584594" w:rsidR="00261A16" w:rsidRPr="00EF2B94" w:rsidRDefault="00EF2B94" w:rsidP="00EF2B94">
      <w:pPr>
        <w:spacing w:after="200" w:line="276" w:lineRule="auto"/>
        <w:jc w:val="both"/>
        <w:rPr>
          <w:rFonts w:ascii="Times New Roman" w:eastAsia="Tw Cen MT" w:hAnsi="Times New Roman" w:cs="Times New Roman"/>
          <w:sz w:val="20"/>
          <w:szCs w:val="24"/>
        </w:rPr>
      </w:pP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Statement of the problem</w:t>
      </w: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: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Beyond classical lipid profile, there are new predicting risk fractions, which are investigated in the Diabetes Mellitus 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(DM) clinical setting, such as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,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Castelli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Risk 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index I (CRI) and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Castelli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Risk Index </w:t>
      </w:r>
      <w:r w:rsidRPr="00EF2B94">
        <w:rPr>
          <w:rFonts w:ascii="Times New Roman" w:eastAsia="Tw Cen MT" w:hAnsi="Times New Roman" w:cs="Times New Roman"/>
          <w:sz w:val="20"/>
          <w:szCs w:val="24"/>
        </w:rPr>
        <w:t>II (CRII). The aim of the study was to f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ind if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, CRI and CRII could be useful biomarkers in DM assessment. </w:t>
      </w:r>
    </w:p>
    <w:p w14:paraId="053D76FE" w14:textId="325D730F" w:rsidR="00261A16" w:rsidRPr="00EF2B94" w:rsidRDefault="00EF2B94" w:rsidP="00EF2B94">
      <w:pPr>
        <w:spacing w:after="200" w:line="276" w:lineRule="auto"/>
        <w:jc w:val="both"/>
        <w:rPr>
          <w:rFonts w:ascii="Times New Roman" w:eastAsia="Tw Cen MT" w:hAnsi="Times New Roman" w:cs="Times New Roman"/>
          <w:sz w:val="20"/>
          <w:szCs w:val="24"/>
        </w:rPr>
      </w:pP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Methodology: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Observational cross-sectional study was on 419 patients, over 65 years, of which 238 DM and 181 healthy control patients.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was calculated as LDL-HDL (TG&lt;400</w:t>
      </w:r>
      <w:r>
        <w:rPr>
          <w:rFonts w:ascii="Times New Roman" w:eastAsia="Tw Cen MT" w:hAnsi="Times New Roman" w:cs="Times New Roman"/>
          <w:sz w:val="20"/>
          <w:szCs w:val="24"/>
        </w:rPr>
        <w:t xml:space="preserve"> mg/</w:t>
      </w:r>
      <w:proofErr w:type="spellStart"/>
      <w:r>
        <w:rPr>
          <w:rFonts w:ascii="Times New Roman" w:eastAsia="Tw Cen MT" w:hAnsi="Times New Roman" w:cs="Times New Roman"/>
          <w:sz w:val="20"/>
          <w:szCs w:val="24"/>
        </w:rPr>
        <w:t>dL</w:t>
      </w:r>
      <w:proofErr w:type="spellEnd"/>
      <w:r>
        <w:rPr>
          <w:rFonts w:ascii="Times New Roman" w:eastAsia="Tw Cen MT" w:hAnsi="Times New Roman" w:cs="Times New Roman"/>
          <w:sz w:val="20"/>
          <w:szCs w:val="24"/>
        </w:rPr>
        <w:t>); LDL-HDL +</w:t>
      </w:r>
      <w:r w:rsidRPr="00EF2B94">
        <w:rPr>
          <w:rFonts w:ascii="Times New Roman" w:eastAsia="Tw Cen MT" w:hAnsi="Times New Roman" w:cs="Times New Roman"/>
          <w:sz w:val="20"/>
          <w:szCs w:val="24"/>
        </w:rPr>
        <w:t>1/5 of TG (TG ≥ 400 mg/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dL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>). CRI was calculated by TC/HDL and CRII by LD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L/HDL. Cut-off limits: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>
        <w:rPr>
          <w:rFonts w:ascii="Times New Roman" w:eastAsia="Tw Cen MT" w:hAnsi="Times New Roman" w:cs="Times New Roman"/>
          <w:sz w:val="20"/>
          <w:szCs w:val="24"/>
        </w:rPr>
        <w:t>&lt;2.07; CRI&lt;3; CRII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&lt;3.3. </w:t>
      </w:r>
    </w:p>
    <w:p w14:paraId="58D2DD6C" w14:textId="535EE902" w:rsidR="00261A16" w:rsidRPr="00EF2B94" w:rsidRDefault="00EF2B94" w:rsidP="00EF2B94">
      <w:pPr>
        <w:spacing w:after="200" w:line="276" w:lineRule="auto"/>
        <w:jc w:val="both"/>
        <w:rPr>
          <w:rFonts w:ascii="Times New Roman" w:eastAsia="Tw Cen MT" w:hAnsi="Times New Roman" w:cs="Times New Roman"/>
          <w:sz w:val="20"/>
          <w:szCs w:val="24"/>
        </w:rPr>
      </w:pP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Findings: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Data revealed an increase of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(p&lt;0.05), CRI and CRII (p&lt;0.0001) at DM patients </w:t>
      </w:r>
      <w:r w:rsidRPr="00EF2B94">
        <w:rPr>
          <w:rFonts w:ascii="Times New Roman" w:eastAsia="Tw Cen MT" w:hAnsi="Times New Roman" w:cs="Times New Roman"/>
          <w:i/>
          <w:sz w:val="20"/>
          <w:szCs w:val="24"/>
        </w:rPr>
        <w:t>vs.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con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trol; low levels of HDL (p&lt;0.0001) and high of TG (p&lt;0.0001). Linear regression equations showed a positive correlation of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with CRI and CRII (p&lt;0.0001) at DM patients, besides also positive correlation with lipid panel. Diagnostic evaluation for </w:t>
      </w:r>
      <w:r w:rsidRPr="00EF2B94">
        <w:rPr>
          <w:rFonts w:ascii="Times New Roman" w:eastAsia="Tw Cen MT" w:hAnsi="Times New Roman" w:cs="Times New Roman"/>
          <w:sz w:val="20"/>
          <w:szCs w:val="24"/>
        </w:rPr>
        <w:t>CRI indicated: 62.77% assay accuracy, 82.77% sensitivity, 36.46% specificity, 56.80% disease prevalence and relative risk estimate=1.3. For CRII: 50.6% assay accuracy, 25.63% sensitivity, 83.43% specificity, 56.80% disease prevalence and relative risk esti</w:t>
      </w:r>
      <w:r w:rsidRPr="00EF2B94">
        <w:rPr>
          <w:rFonts w:ascii="Times New Roman" w:eastAsia="Tw Cen MT" w:hAnsi="Times New Roman" w:cs="Times New Roman"/>
          <w:sz w:val="20"/>
          <w:szCs w:val="24"/>
        </w:rPr>
        <w:t>mate=2.06. Multivariate logistic regression analysis showed that patients with high CRI are 2.75 times more likely to have DM compared t</w:t>
      </w:r>
      <w:r>
        <w:rPr>
          <w:rFonts w:ascii="Times New Roman" w:eastAsia="Tw Cen MT" w:hAnsi="Times New Roman" w:cs="Times New Roman"/>
          <w:sz w:val="20"/>
          <w:szCs w:val="24"/>
        </w:rPr>
        <w:t>o those with low risk [OR 2.75,</w:t>
      </w:r>
      <w:r w:rsidRPr="00EF2B94">
        <w:rPr>
          <w:rFonts w:ascii="Times New Roman" w:eastAsia="Tw Cen MT" w:hAnsi="Times New Roman" w:cs="Times New Roman"/>
          <w:sz w:val="20"/>
          <w:szCs w:val="24"/>
        </w:rPr>
        <w:t>95% CI: 1.75-4.33; p&lt;0.0001]. Also, patients with high risk CRII have 1.73 times to deve</w:t>
      </w:r>
      <w:r>
        <w:rPr>
          <w:rFonts w:ascii="Times New Roman" w:eastAsia="Tw Cen MT" w:hAnsi="Times New Roman" w:cs="Times New Roman"/>
          <w:sz w:val="20"/>
          <w:szCs w:val="24"/>
        </w:rPr>
        <w:t>lop DM [OR 1.73</w:t>
      </w:r>
      <w:proofErr w:type="gramStart"/>
      <w:r>
        <w:rPr>
          <w:rFonts w:ascii="Times New Roman" w:eastAsia="Tw Cen MT" w:hAnsi="Times New Roman" w:cs="Times New Roman"/>
          <w:sz w:val="20"/>
          <w:szCs w:val="24"/>
        </w:rPr>
        <w:t>,</w:t>
      </w:r>
      <w:r w:rsidRPr="00EF2B94">
        <w:rPr>
          <w:rFonts w:ascii="Times New Roman" w:eastAsia="Tw Cen MT" w:hAnsi="Times New Roman" w:cs="Times New Roman"/>
          <w:sz w:val="20"/>
          <w:szCs w:val="24"/>
        </w:rPr>
        <w:t>95</w:t>
      </w:r>
      <w:proofErr w:type="gramEnd"/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% CI: 1.06-2.82; p&lt;0.005]. At DM, even if TC and LDL were in reference range, risk indices were high. </w:t>
      </w:r>
    </w:p>
    <w:p w14:paraId="6785ED7E" w14:textId="42565CFE" w:rsidR="00E552D3" w:rsidRPr="00EF2B94" w:rsidRDefault="00EF2B94" w:rsidP="00EF2B94">
      <w:pPr>
        <w:spacing w:after="200" w:line="276" w:lineRule="auto"/>
        <w:jc w:val="both"/>
        <w:rPr>
          <w:rFonts w:ascii="Times New Roman" w:eastAsia="Tw Cen MT" w:hAnsi="Times New Roman" w:cs="Times New Roman"/>
          <w:sz w:val="20"/>
          <w:szCs w:val="24"/>
        </w:rPr>
      </w:pP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Conclusion</w:t>
      </w:r>
      <w:r w:rsidRPr="00EF2B94">
        <w:rPr>
          <w:rFonts w:ascii="Times New Roman" w:eastAsia="Tw Cen MT" w:hAnsi="Times New Roman" w:cs="Times New Roman"/>
          <w:b/>
          <w:bCs/>
          <w:sz w:val="20"/>
          <w:szCs w:val="24"/>
        </w:rPr>
        <w:t>: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There is a certain correlation between </w:t>
      </w:r>
      <w:proofErr w:type="spellStart"/>
      <w:r w:rsidRPr="00EF2B94">
        <w:rPr>
          <w:rFonts w:ascii="Times New Roman" w:eastAsia="Tw Cen MT" w:hAnsi="Times New Roman" w:cs="Times New Roman"/>
          <w:sz w:val="20"/>
          <w:szCs w:val="24"/>
        </w:rPr>
        <w:t>CholIndex</w:t>
      </w:r>
      <w:proofErr w:type="spellEnd"/>
      <w:r w:rsidRPr="00EF2B94">
        <w:rPr>
          <w:rFonts w:ascii="Times New Roman" w:eastAsia="Tw Cen MT" w:hAnsi="Times New Roman" w:cs="Times New Roman"/>
          <w:sz w:val="20"/>
          <w:szCs w:val="24"/>
        </w:rPr>
        <w:t>, CRI, CRII and DM, the higher the risk the more likely it</w:t>
      </w:r>
      <w:r w:rsidRPr="00EF2B94">
        <w:rPr>
          <w:rFonts w:ascii="Times New Roman" w:eastAsia="Tw Cen MT" w:hAnsi="Times New Roman" w:cs="Times New Roman"/>
          <w:sz w:val="20"/>
          <w:szCs w:val="24"/>
        </w:rPr>
        <w:t xml:space="preserve"> is to develop DM. So, studied indices could be useful and reliable biomarkers for DM assessment</w:t>
      </w:r>
      <w:r w:rsidRPr="00EF2B94">
        <w:rPr>
          <w:rFonts w:ascii="Times New Roman" w:eastAsia="Tw Cen MT" w:hAnsi="Times New Roman" w:cs="Times New Roman"/>
          <w:sz w:val="20"/>
          <w:szCs w:val="24"/>
        </w:rPr>
        <w:t>.</w:t>
      </w:r>
    </w:p>
    <w:p w14:paraId="2C59E05D" w14:textId="766EC276" w:rsidR="00261A16" w:rsidRPr="00EF2B94" w:rsidRDefault="00EF2B94" w:rsidP="00EF2B94">
      <w:pPr>
        <w:spacing w:after="200" w:line="276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F2B94">
        <w:rPr>
          <w:rFonts w:ascii="Times New Roman" w:eastAsia="Arial" w:hAnsi="Times New Roman" w:cs="Times New Roman"/>
          <w:b/>
          <w:bCs/>
          <w:sz w:val="24"/>
          <w:szCs w:val="24"/>
        </w:rPr>
        <w:t>Biography</w:t>
      </w:r>
    </w:p>
    <w:p w14:paraId="7C75314A" w14:textId="5F23C0B2" w:rsidR="00E552D3" w:rsidRPr="00EF2B94" w:rsidRDefault="00EF2B94" w:rsidP="00EF2B94">
      <w:pPr>
        <w:spacing w:after="200" w:line="276" w:lineRule="auto"/>
        <w:jc w:val="both"/>
        <w:rPr>
          <w:rFonts w:ascii="Times New Roman" w:eastAsia="Minion Pro" w:hAnsi="Times New Roman" w:cs="Times New Roman"/>
          <w:sz w:val="20"/>
          <w:szCs w:val="24"/>
        </w:rPr>
      </w:pPr>
      <w:proofErr w:type="spellStart"/>
      <w:r>
        <w:rPr>
          <w:rFonts w:ascii="Times New Roman" w:eastAsia="Arial" w:hAnsi="Times New Roman" w:cs="Times New Roman"/>
          <w:sz w:val="20"/>
          <w:szCs w:val="24"/>
        </w:rPr>
        <w:t>Simona</w:t>
      </w:r>
      <w:proofErr w:type="spellEnd"/>
      <w:r>
        <w:rPr>
          <w:rFonts w:ascii="Times New Roman" w:eastAsia="Arial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0"/>
          <w:szCs w:val="24"/>
        </w:rPr>
        <w:t>Opris</w:t>
      </w:r>
      <w:proofErr w:type="spellEnd"/>
      <w:r>
        <w:rPr>
          <w:rFonts w:ascii="Times New Roman" w:eastAsia="Arial" w:hAnsi="Times New Roman" w:cs="Times New Roman"/>
          <w:sz w:val="20"/>
          <w:szCs w:val="24"/>
        </w:rPr>
        <w:t xml:space="preserve"> is</w:t>
      </w:r>
      <w:r w:rsidRPr="00EF2B94">
        <w:rPr>
          <w:rFonts w:ascii="Times New Roman" w:eastAsia="Arial" w:hAnsi="Times New Roman" w:cs="Times New Roman"/>
          <w:sz w:val="20"/>
          <w:szCs w:val="24"/>
        </w:rPr>
        <w:t xml:space="preserve"> Senior Scientific Researcher and Medical Principal Biochemist with expertise in biology of aging. </w:t>
      </w:r>
      <w:r>
        <w:rPr>
          <w:rFonts w:ascii="Times New Roman" w:eastAsia="Arial" w:hAnsi="Times New Roman" w:cs="Times New Roman"/>
          <w:sz w:val="20"/>
          <w:szCs w:val="24"/>
        </w:rPr>
        <w:t xml:space="preserve">Her </w:t>
      </w:r>
      <w:r w:rsidRPr="00EF2B94">
        <w:rPr>
          <w:rFonts w:ascii="Times New Roman" w:eastAsia="Arial" w:hAnsi="Times New Roman" w:cs="Times New Roman"/>
          <w:sz w:val="20"/>
          <w:szCs w:val="24"/>
        </w:rPr>
        <w:t>Research fields: correlation of oxidative stress in normal and pathological aging; immun</w:t>
      </w:r>
      <w:r w:rsidRPr="00EF2B94">
        <w:rPr>
          <w:rFonts w:ascii="Times New Roman" w:eastAsia="Arial" w:hAnsi="Times New Roman" w:cs="Times New Roman"/>
          <w:sz w:val="20"/>
          <w:szCs w:val="24"/>
        </w:rPr>
        <w:t>ological investigation methods by ELISA; elucidation of induce age-modifications at cardiovascular pathology; assessment criterion of biological age by identification of some specific biological markers. She published 86 scientific papers (70 first authors</w:t>
      </w:r>
      <w:r w:rsidRPr="00EF2B94">
        <w:rPr>
          <w:rFonts w:ascii="Times New Roman" w:eastAsia="Arial" w:hAnsi="Times New Roman" w:cs="Times New Roman"/>
          <w:sz w:val="20"/>
          <w:szCs w:val="24"/>
        </w:rPr>
        <w:t>)</w:t>
      </w:r>
      <w:r w:rsidRPr="00EF2B94">
        <w:rPr>
          <w:rFonts w:ascii="Times New Roman" w:eastAsia="Arial" w:hAnsi="Times New Roman" w:cs="Times New Roman"/>
          <w:sz w:val="20"/>
          <w:szCs w:val="24"/>
        </w:rPr>
        <w:t xml:space="preserve"> in national and international scientific journals (ISI-12), 170 international congresses and 60 national congresse</w:t>
      </w:r>
      <w:r>
        <w:rPr>
          <w:rFonts w:ascii="Times New Roman" w:eastAsia="Arial" w:hAnsi="Times New Roman" w:cs="Times New Roman"/>
          <w:sz w:val="20"/>
          <w:szCs w:val="24"/>
        </w:rPr>
        <w:t>s, 8 national research programs</w:t>
      </w:r>
      <w:r w:rsidRPr="00EF2B94">
        <w:rPr>
          <w:rFonts w:ascii="Times New Roman" w:eastAsia="Arial" w:hAnsi="Times New Roman" w:cs="Times New Roman"/>
          <w:sz w:val="20"/>
          <w:szCs w:val="24"/>
        </w:rPr>
        <w:t xml:space="preserve"> </w:t>
      </w:r>
      <w:r>
        <w:rPr>
          <w:rFonts w:ascii="Times New Roman" w:eastAsia="Arial" w:hAnsi="Times New Roman" w:cs="Times New Roman"/>
          <w:sz w:val="20"/>
          <w:szCs w:val="24"/>
        </w:rPr>
        <w:t>a</w:t>
      </w:r>
      <w:r w:rsidRPr="00EF2B94">
        <w:rPr>
          <w:rFonts w:ascii="Times New Roman" w:eastAsia="Arial" w:hAnsi="Times New Roman" w:cs="Times New Roman"/>
          <w:sz w:val="20"/>
          <w:szCs w:val="24"/>
        </w:rPr>
        <w:t>lso, Editor Assistant at Romanian Journal of Gerontology and Geriatrics, member of OBBCSR and member of Rom</w:t>
      </w:r>
      <w:r w:rsidRPr="00EF2B94">
        <w:rPr>
          <w:rFonts w:ascii="Times New Roman" w:eastAsia="Arial" w:hAnsi="Times New Roman" w:cs="Times New Roman"/>
          <w:sz w:val="20"/>
          <w:szCs w:val="24"/>
        </w:rPr>
        <w:t>anian Society of Gerontology and Geriatrics.</w:t>
      </w:r>
      <w:bookmarkEnd w:id="0"/>
    </w:p>
    <w:sectPr w:rsidR="00E552D3" w:rsidRPr="00EF2B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36727"/>
    <w:multiLevelType w:val="multilevel"/>
    <w:tmpl w:val="11E4C4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A82CB9"/>
    <w:multiLevelType w:val="hybridMultilevel"/>
    <w:tmpl w:val="C326FD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E804F0"/>
    <w:multiLevelType w:val="hybridMultilevel"/>
    <w:tmpl w:val="A0FA03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552D3"/>
    <w:rsid w:val="00261A16"/>
    <w:rsid w:val="00285A79"/>
    <w:rsid w:val="00E552D3"/>
    <w:rsid w:val="00E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29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4</cp:revision>
  <dcterms:created xsi:type="dcterms:W3CDTF">2022-11-29T12:41:00Z</dcterms:created>
  <dcterms:modified xsi:type="dcterms:W3CDTF">2022-11-29T13:20:00Z</dcterms:modified>
</cp:coreProperties>
</file>