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3A0E08" w:rsidRDefault="002D674B" w:rsidP="003A0E08">
      <w:pPr>
        <w:rPr>
          <w:rFonts w:ascii="Times New Roman" w:hAnsi="Times New Roman" w:cs="Times New Roman"/>
          <w:b/>
          <w:sz w:val="32"/>
          <w:szCs w:val="24"/>
        </w:rPr>
      </w:pPr>
      <w:bookmarkStart w:id="0" w:name="_GoBack"/>
      <w:r w:rsidRPr="003A0E08">
        <w:rPr>
          <w:rFonts w:ascii="Times New Roman" w:hAnsi="Times New Roman" w:cs="Times New Roman"/>
          <w:b/>
          <w:sz w:val="32"/>
          <w:szCs w:val="24"/>
        </w:rPr>
        <w:t xml:space="preserve">Dietary practices and social attitudes trend of admitted infants into </w:t>
      </w:r>
      <w:proofErr w:type="spellStart"/>
      <w:r w:rsidRPr="003A0E08">
        <w:rPr>
          <w:rFonts w:ascii="Times New Roman" w:hAnsi="Times New Roman" w:cs="Times New Roman"/>
          <w:b/>
          <w:sz w:val="32"/>
          <w:szCs w:val="24"/>
        </w:rPr>
        <w:t>Misurata</w:t>
      </w:r>
      <w:proofErr w:type="spellEnd"/>
      <w:r w:rsidRPr="003A0E08">
        <w:rPr>
          <w:rFonts w:ascii="Times New Roman" w:hAnsi="Times New Roman" w:cs="Times New Roman"/>
          <w:b/>
          <w:sz w:val="32"/>
          <w:szCs w:val="24"/>
        </w:rPr>
        <w:t xml:space="preserve"> Medical Centre</w:t>
      </w:r>
    </w:p>
    <w:p w:rsidR="002D674B" w:rsidRPr="003A0E08" w:rsidRDefault="002D674B" w:rsidP="003A0E08">
      <w:pPr>
        <w:rPr>
          <w:rFonts w:ascii="Times New Roman" w:hAnsi="Times New Roman" w:cs="Times New Roman"/>
          <w:sz w:val="24"/>
          <w:szCs w:val="24"/>
        </w:rPr>
      </w:pPr>
      <w:proofErr w:type="spellStart"/>
      <w:r w:rsidRPr="003A0E08">
        <w:rPr>
          <w:rFonts w:ascii="Times New Roman" w:hAnsi="Times New Roman" w:cs="Times New Roman"/>
          <w:sz w:val="24"/>
          <w:szCs w:val="24"/>
        </w:rPr>
        <w:t>Ayman</w:t>
      </w:r>
      <w:proofErr w:type="spellEnd"/>
      <w:r w:rsidRPr="003A0E08">
        <w:rPr>
          <w:rFonts w:ascii="Times New Roman" w:hAnsi="Times New Roman" w:cs="Times New Roman"/>
          <w:sz w:val="24"/>
          <w:szCs w:val="24"/>
        </w:rPr>
        <w:t xml:space="preserve"> </w:t>
      </w:r>
      <w:proofErr w:type="spellStart"/>
      <w:r w:rsidRPr="003A0E08">
        <w:rPr>
          <w:rFonts w:ascii="Times New Roman" w:hAnsi="Times New Roman" w:cs="Times New Roman"/>
          <w:sz w:val="24"/>
          <w:szCs w:val="24"/>
        </w:rPr>
        <w:t>Balla</w:t>
      </w:r>
      <w:proofErr w:type="spellEnd"/>
      <w:r w:rsidRPr="003A0E08">
        <w:rPr>
          <w:rFonts w:ascii="Times New Roman" w:hAnsi="Times New Roman" w:cs="Times New Roman"/>
          <w:sz w:val="24"/>
          <w:szCs w:val="24"/>
        </w:rPr>
        <w:t xml:space="preserve"> Mustafa</w:t>
      </w:r>
      <w:r w:rsidRPr="003A0E08">
        <w:rPr>
          <w:rFonts w:ascii="Times New Roman" w:hAnsi="Times New Roman" w:cs="Times New Roman"/>
          <w:sz w:val="24"/>
          <w:szCs w:val="24"/>
          <w:vertAlign w:val="superscript"/>
        </w:rPr>
        <w:t>1</w:t>
      </w:r>
      <w:r w:rsidR="003A0E08">
        <w:rPr>
          <w:rFonts w:ascii="Times New Roman" w:hAnsi="Times New Roman" w:cs="Times New Roman"/>
          <w:sz w:val="24"/>
          <w:szCs w:val="24"/>
        </w:rPr>
        <w:t>*</w:t>
      </w:r>
      <w:r w:rsidRPr="003A0E08">
        <w:rPr>
          <w:rFonts w:ascii="Times New Roman" w:hAnsi="Times New Roman" w:cs="Times New Roman"/>
          <w:sz w:val="24"/>
          <w:szCs w:val="24"/>
        </w:rPr>
        <w:t>, Salem Elwahaishi</w:t>
      </w:r>
      <w:r w:rsidRPr="003A0E08">
        <w:rPr>
          <w:rFonts w:ascii="Times New Roman" w:hAnsi="Times New Roman" w:cs="Times New Roman"/>
          <w:sz w:val="24"/>
          <w:szCs w:val="24"/>
          <w:vertAlign w:val="superscript"/>
        </w:rPr>
        <w:t>1</w:t>
      </w:r>
      <w:r w:rsidRPr="003A0E08">
        <w:rPr>
          <w:rFonts w:ascii="Times New Roman" w:hAnsi="Times New Roman" w:cs="Times New Roman"/>
          <w:sz w:val="24"/>
          <w:szCs w:val="24"/>
        </w:rPr>
        <w:t xml:space="preserve">, </w:t>
      </w:r>
      <w:proofErr w:type="spellStart"/>
      <w:r w:rsidRPr="003A0E08">
        <w:rPr>
          <w:rFonts w:ascii="Times New Roman" w:hAnsi="Times New Roman" w:cs="Times New Roman"/>
          <w:sz w:val="24"/>
          <w:szCs w:val="24"/>
        </w:rPr>
        <w:t>Abdalla</w:t>
      </w:r>
      <w:proofErr w:type="spellEnd"/>
      <w:r w:rsidRPr="003A0E08">
        <w:rPr>
          <w:rFonts w:ascii="Times New Roman" w:hAnsi="Times New Roman" w:cs="Times New Roman"/>
          <w:sz w:val="24"/>
          <w:szCs w:val="24"/>
        </w:rPr>
        <w:t xml:space="preserve"> Elgenaidi</w:t>
      </w:r>
      <w:r w:rsidRPr="003A0E08">
        <w:rPr>
          <w:rFonts w:ascii="Times New Roman" w:hAnsi="Times New Roman" w:cs="Times New Roman"/>
          <w:sz w:val="24"/>
          <w:szCs w:val="24"/>
          <w:vertAlign w:val="superscript"/>
        </w:rPr>
        <w:t>1</w:t>
      </w:r>
      <w:r w:rsidRPr="003A0E08">
        <w:rPr>
          <w:rFonts w:ascii="Times New Roman" w:hAnsi="Times New Roman" w:cs="Times New Roman"/>
          <w:sz w:val="24"/>
          <w:szCs w:val="24"/>
        </w:rPr>
        <w:t>, Maryam Ismail</w:t>
      </w:r>
      <w:r w:rsidR="003A0E08">
        <w:rPr>
          <w:rFonts w:ascii="Times New Roman" w:hAnsi="Times New Roman" w:cs="Times New Roman"/>
          <w:sz w:val="24"/>
          <w:szCs w:val="24"/>
          <w:vertAlign w:val="superscript"/>
        </w:rPr>
        <w:t>1</w:t>
      </w:r>
      <w:r w:rsidRPr="003A0E08">
        <w:rPr>
          <w:rFonts w:ascii="Times New Roman" w:hAnsi="Times New Roman" w:cs="Times New Roman"/>
          <w:sz w:val="24"/>
          <w:szCs w:val="24"/>
        </w:rPr>
        <w:t>, Salem Mohamed Embiriekah</w:t>
      </w:r>
      <w:r w:rsidR="003A0E08">
        <w:rPr>
          <w:rFonts w:ascii="Times New Roman" w:hAnsi="Times New Roman" w:cs="Times New Roman"/>
          <w:sz w:val="24"/>
          <w:szCs w:val="24"/>
          <w:vertAlign w:val="superscript"/>
        </w:rPr>
        <w:t>1</w:t>
      </w:r>
      <w:r w:rsidRPr="003A0E08">
        <w:rPr>
          <w:rFonts w:ascii="Times New Roman" w:hAnsi="Times New Roman" w:cs="Times New Roman"/>
          <w:sz w:val="24"/>
          <w:szCs w:val="24"/>
        </w:rPr>
        <w:t xml:space="preserve"> and </w:t>
      </w:r>
      <w:proofErr w:type="spellStart"/>
      <w:r w:rsidRPr="003A0E08">
        <w:rPr>
          <w:rFonts w:ascii="Times New Roman" w:hAnsi="Times New Roman" w:cs="Times New Roman"/>
          <w:sz w:val="24"/>
          <w:szCs w:val="24"/>
        </w:rPr>
        <w:t>Mohanad</w:t>
      </w:r>
      <w:proofErr w:type="spellEnd"/>
      <w:r w:rsidRPr="003A0E08">
        <w:rPr>
          <w:rFonts w:ascii="Times New Roman" w:hAnsi="Times New Roman" w:cs="Times New Roman"/>
          <w:sz w:val="24"/>
          <w:szCs w:val="24"/>
        </w:rPr>
        <w:t xml:space="preserve"> Bashari</w:t>
      </w:r>
      <w:r w:rsidR="003A0E08">
        <w:rPr>
          <w:rFonts w:ascii="Times New Roman" w:hAnsi="Times New Roman" w:cs="Times New Roman"/>
          <w:sz w:val="24"/>
          <w:szCs w:val="24"/>
          <w:vertAlign w:val="superscript"/>
        </w:rPr>
        <w:t>2</w:t>
      </w:r>
    </w:p>
    <w:p w:rsidR="002D674B" w:rsidRPr="003A0E08" w:rsidRDefault="002D674B" w:rsidP="003A0E08">
      <w:pPr>
        <w:spacing w:after="0"/>
        <w:rPr>
          <w:rFonts w:ascii="Times New Roman" w:hAnsi="Times New Roman" w:cs="Times New Roman"/>
          <w:sz w:val="24"/>
          <w:szCs w:val="24"/>
        </w:rPr>
      </w:pPr>
      <w:r w:rsidRPr="003A0E08">
        <w:rPr>
          <w:rFonts w:ascii="Times New Roman" w:hAnsi="Times New Roman" w:cs="Times New Roman"/>
          <w:sz w:val="24"/>
          <w:szCs w:val="24"/>
          <w:vertAlign w:val="superscript"/>
        </w:rPr>
        <w:t>1</w:t>
      </w:r>
      <w:r w:rsidRPr="003A0E08">
        <w:rPr>
          <w:rFonts w:ascii="Times New Roman" w:hAnsi="Times New Roman" w:cs="Times New Roman"/>
          <w:sz w:val="24"/>
          <w:szCs w:val="24"/>
        </w:rPr>
        <w:t xml:space="preserve">Misurata University, </w:t>
      </w:r>
      <w:r w:rsidR="003A0E08">
        <w:rPr>
          <w:rFonts w:ascii="Times New Roman" w:hAnsi="Times New Roman" w:cs="Times New Roman"/>
          <w:sz w:val="24"/>
          <w:szCs w:val="24"/>
        </w:rPr>
        <w:t>Libya</w:t>
      </w:r>
    </w:p>
    <w:p w:rsidR="002D674B" w:rsidRPr="003A0E08" w:rsidRDefault="003A0E08" w:rsidP="003A0E08">
      <w:pP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A’Sharqiah University, Oman</w:t>
      </w:r>
    </w:p>
    <w:p w:rsidR="002D674B" w:rsidRPr="003A0E08" w:rsidRDefault="002D674B" w:rsidP="003A0E08">
      <w:pPr>
        <w:jc w:val="center"/>
        <w:rPr>
          <w:rFonts w:ascii="Times New Roman" w:hAnsi="Times New Roman" w:cs="Times New Roman"/>
          <w:b/>
          <w:sz w:val="24"/>
          <w:szCs w:val="24"/>
        </w:rPr>
      </w:pPr>
      <w:r w:rsidRPr="003A0E08">
        <w:rPr>
          <w:rFonts w:ascii="Times New Roman" w:hAnsi="Times New Roman" w:cs="Times New Roman"/>
          <w:b/>
          <w:sz w:val="24"/>
          <w:szCs w:val="24"/>
        </w:rPr>
        <w:t>Abstract</w:t>
      </w:r>
    </w:p>
    <w:p w:rsidR="002D674B" w:rsidRPr="003A0E08" w:rsidRDefault="002D674B" w:rsidP="003A0E08">
      <w:pPr>
        <w:jc w:val="both"/>
        <w:rPr>
          <w:rFonts w:ascii="Times New Roman" w:hAnsi="Times New Roman" w:cs="Times New Roman"/>
          <w:sz w:val="20"/>
          <w:szCs w:val="24"/>
        </w:rPr>
      </w:pPr>
      <w:r w:rsidRPr="003A0E08">
        <w:rPr>
          <w:rFonts w:ascii="Times New Roman" w:hAnsi="Times New Roman" w:cs="Times New Roman"/>
          <w:sz w:val="20"/>
          <w:szCs w:val="24"/>
        </w:rPr>
        <w:t xml:space="preserve">An infant's feeding practices may be particularly relevant starting early as the first six months of life, since it may be associated with later health outcomes. The cross-section hospital-based study conducted to evaluate feeding practices and social attitudes regarding child nutrition care during infancy. The study was investigated randomly 226 respondents, those who admitted at maternity and pediatrics section at </w:t>
      </w:r>
      <w:proofErr w:type="spellStart"/>
      <w:r w:rsidRPr="003A0E08">
        <w:rPr>
          <w:rFonts w:ascii="Times New Roman" w:hAnsi="Times New Roman" w:cs="Times New Roman"/>
          <w:sz w:val="20"/>
          <w:szCs w:val="24"/>
        </w:rPr>
        <w:t>Misurata</w:t>
      </w:r>
      <w:proofErr w:type="spellEnd"/>
      <w:r w:rsidRPr="003A0E08">
        <w:rPr>
          <w:rFonts w:ascii="Times New Roman" w:hAnsi="Times New Roman" w:cs="Times New Roman"/>
          <w:sz w:val="20"/>
          <w:szCs w:val="24"/>
        </w:rPr>
        <w:t xml:space="preserve"> Medical Centre (MMC) from January to December 2021. Well-structured questionnaire was prepared according to study purposes. It involved three </w:t>
      </w:r>
      <w:proofErr w:type="spellStart"/>
      <w:r w:rsidRPr="003A0E08">
        <w:rPr>
          <w:rFonts w:ascii="Times New Roman" w:hAnsi="Times New Roman" w:cs="Times New Roman"/>
          <w:sz w:val="20"/>
          <w:szCs w:val="24"/>
        </w:rPr>
        <w:t>comparts</w:t>
      </w:r>
      <w:proofErr w:type="spellEnd"/>
      <w:r w:rsidRPr="003A0E08">
        <w:rPr>
          <w:rFonts w:ascii="Times New Roman" w:hAnsi="Times New Roman" w:cs="Times New Roman"/>
          <w:sz w:val="20"/>
          <w:szCs w:val="24"/>
        </w:rPr>
        <w:t>, these included demographic peculiarities, breast feeding and complementary feeding practices. Pearson Correlation was used to evaluate the relationship between variables. The result showed majority of participants fall within age group 1-3 months. 13% of participants were low birth weight. Almost participants 59% introduced complementary food before 4 months of age. The majority of participants 78% were used feeding bottle without returned to refrigerator immediately after feeding session. Whenever, 73% of participants were give-up exclusive breastfeeding before 4 months than 59% of respondents introduced complementary food before month 4 after birth. The result revealed that statistically significant (p</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0.05) of duration of exclusive breastfeeding, elongation of breast feeding, introduction of complementary food, types of formula and preservation of feeding bottle after session immediately. It was explored that a significantly (p</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 xml:space="preserve">0.05) correlation of continuation of breast feeding </w:t>
      </w:r>
      <w:r w:rsidRPr="003A0E08">
        <w:rPr>
          <w:rFonts w:ascii="Times New Roman" w:hAnsi="Times New Roman" w:cs="Times New Roman"/>
          <w:i/>
          <w:sz w:val="20"/>
          <w:szCs w:val="24"/>
        </w:rPr>
        <w:t>versus</w:t>
      </w:r>
      <w:r w:rsidRPr="003A0E08">
        <w:rPr>
          <w:rFonts w:ascii="Times New Roman" w:hAnsi="Times New Roman" w:cs="Times New Roman"/>
          <w:sz w:val="20"/>
          <w:szCs w:val="24"/>
        </w:rPr>
        <w:t xml:space="preserve"> infant age (r=0.290), also significantly (p</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w:t>
      </w:r>
      <w:r w:rsidR="003A0E08">
        <w:rPr>
          <w:rFonts w:ascii="Times New Roman" w:hAnsi="Times New Roman" w:cs="Times New Roman"/>
          <w:sz w:val="20"/>
          <w:szCs w:val="24"/>
        </w:rPr>
        <w:t xml:space="preserve"> </w:t>
      </w:r>
      <w:r w:rsidRPr="003A0E08">
        <w:rPr>
          <w:rFonts w:ascii="Times New Roman" w:hAnsi="Times New Roman" w:cs="Times New Roman"/>
          <w:sz w:val="20"/>
          <w:szCs w:val="24"/>
        </w:rPr>
        <w:t xml:space="preserve">0.05) correlation of type of formula </w:t>
      </w:r>
      <w:r w:rsidRPr="003A0E08">
        <w:rPr>
          <w:rFonts w:ascii="Times New Roman" w:hAnsi="Times New Roman" w:cs="Times New Roman"/>
          <w:i/>
          <w:sz w:val="20"/>
          <w:szCs w:val="24"/>
        </w:rPr>
        <w:t>versus</w:t>
      </w:r>
      <w:r w:rsidRPr="003A0E08">
        <w:rPr>
          <w:rFonts w:ascii="Times New Roman" w:hAnsi="Times New Roman" w:cs="Times New Roman"/>
          <w:sz w:val="20"/>
          <w:szCs w:val="24"/>
        </w:rPr>
        <w:t xml:space="preserve"> immunization status (r=0.257) and use of nutritional supplement (r=0.142) during infancy. The nutrition risk factor will be threatening infant health and nutrition unless the maternal must be aware exclusive breastfeeding role, when initiation of complementary food and how dealing with feeding bottle to be safe and health. The appropriate nutrition intervention must be done among maternal that to encourage breast feeding, reduce morbidity rate and improve nutrition care during infancy.</w:t>
      </w:r>
    </w:p>
    <w:p w:rsidR="002D674B" w:rsidRPr="003A0E08" w:rsidRDefault="003A0E08" w:rsidP="003A0E08">
      <w:pPr>
        <w:jc w:val="both"/>
        <w:rPr>
          <w:rFonts w:ascii="Times New Roman" w:hAnsi="Times New Roman" w:cs="Times New Roman"/>
          <w:sz w:val="20"/>
          <w:szCs w:val="24"/>
        </w:rPr>
      </w:pPr>
      <w:r>
        <w:rPr>
          <w:rFonts w:ascii="Times New Roman" w:hAnsi="Times New Roman" w:cs="Times New Roman"/>
          <w:b/>
          <w:sz w:val="20"/>
          <w:szCs w:val="24"/>
        </w:rPr>
        <w:t>Key</w:t>
      </w:r>
      <w:r w:rsidR="002D674B" w:rsidRPr="003A0E08">
        <w:rPr>
          <w:rFonts w:ascii="Times New Roman" w:hAnsi="Times New Roman" w:cs="Times New Roman"/>
          <w:b/>
          <w:sz w:val="20"/>
          <w:szCs w:val="24"/>
        </w:rPr>
        <w:t>words:</w:t>
      </w:r>
      <w:r w:rsidR="002D674B" w:rsidRPr="003A0E08">
        <w:rPr>
          <w:rFonts w:ascii="Times New Roman" w:hAnsi="Times New Roman" w:cs="Times New Roman"/>
          <w:sz w:val="20"/>
          <w:szCs w:val="24"/>
        </w:rPr>
        <w:t xml:space="preserve"> Complementary </w:t>
      </w:r>
      <w:r w:rsidRPr="003A0E08">
        <w:rPr>
          <w:rFonts w:ascii="Times New Roman" w:hAnsi="Times New Roman" w:cs="Times New Roman"/>
          <w:sz w:val="20"/>
          <w:szCs w:val="24"/>
        </w:rPr>
        <w:t>feeding</w:t>
      </w:r>
      <w:r w:rsidR="002D674B" w:rsidRPr="003A0E08">
        <w:rPr>
          <w:rFonts w:ascii="Times New Roman" w:hAnsi="Times New Roman" w:cs="Times New Roman"/>
          <w:sz w:val="20"/>
          <w:szCs w:val="24"/>
        </w:rPr>
        <w:t xml:space="preserve">, Dietary </w:t>
      </w:r>
      <w:r w:rsidRPr="003A0E08">
        <w:rPr>
          <w:rFonts w:ascii="Times New Roman" w:hAnsi="Times New Roman" w:cs="Times New Roman"/>
          <w:sz w:val="20"/>
          <w:szCs w:val="24"/>
        </w:rPr>
        <w:t>assessment</w:t>
      </w:r>
      <w:r w:rsidR="002D674B" w:rsidRPr="003A0E08">
        <w:rPr>
          <w:rFonts w:ascii="Times New Roman" w:hAnsi="Times New Roman" w:cs="Times New Roman"/>
          <w:sz w:val="20"/>
          <w:szCs w:val="24"/>
        </w:rPr>
        <w:t xml:space="preserve">, Infants, </w:t>
      </w:r>
      <w:proofErr w:type="spellStart"/>
      <w:r w:rsidR="002D674B" w:rsidRPr="003A0E08">
        <w:rPr>
          <w:rFonts w:ascii="Times New Roman" w:hAnsi="Times New Roman" w:cs="Times New Roman"/>
          <w:sz w:val="20"/>
          <w:szCs w:val="24"/>
        </w:rPr>
        <w:t>Misurata</w:t>
      </w:r>
      <w:proofErr w:type="spellEnd"/>
      <w:r w:rsidR="002D674B" w:rsidRPr="003A0E08">
        <w:rPr>
          <w:rFonts w:ascii="Times New Roman" w:hAnsi="Times New Roman" w:cs="Times New Roman"/>
          <w:sz w:val="20"/>
          <w:szCs w:val="24"/>
        </w:rPr>
        <w:t>, Nutrition.</w:t>
      </w:r>
    </w:p>
    <w:p w:rsidR="002D674B" w:rsidRPr="003A0E08" w:rsidRDefault="002D674B" w:rsidP="003A0E08">
      <w:pPr>
        <w:rPr>
          <w:rFonts w:ascii="Times New Roman" w:hAnsi="Times New Roman" w:cs="Times New Roman"/>
          <w:b/>
          <w:sz w:val="24"/>
          <w:szCs w:val="24"/>
        </w:rPr>
      </w:pPr>
      <w:r w:rsidRPr="003A0E08">
        <w:rPr>
          <w:rFonts w:ascii="Times New Roman" w:hAnsi="Times New Roman" w:cs="Times New Roman"/>
          <w:b/>
          <w:sz w:val="24"/>
          <w:szCs w:val="24"/>
        </w:rPr>
        <w:t>Biography</w:t>
      </w:r>
    </w:p>
    <w:p w:rsidR="002D674B" w:rsidRPr="003A0E08" w:rsidRDefault="002D674B" w:rsidP="003A0E08">
      <w:pPr>
        <w:jc w:val="both"/>
        <w:rPr>
          <w:rFonts w:ascii="Times New Roman" w:hAnsi="Times New Roman" w:cs="Times New Roman"/>
          <w:b/>
          <w:sz w:val="24"/>
          <w:szCs w:val="24"/>
        </w:rPr>
      </w:pPr>
      <w:proofErr w:type="spellStart"/>
      <w:r w:rsidRPr="003A0E08">
        <w:rPr>
          <w:rFonts w:ascii="Times New Roman" w:hAnsi="Times New Roman" w:cs="Times New Roman"/>
          <w:sz w:val="20"/>
          <w:szCs w:val="24"/>
        </w:rPr>
        <w:t>Ayman</w:t>
      </w:r>
      <w:proofErr w:type="spellEnd"/>
      <w:r w:rsidRPr="003A0E08">
        <w:rPr>
          <w:rFonts w:ascii="Times New Roman" w:hAnsi="Times New Roman" w:cs="Times New Roman"/>
          <w:sz w:val="20"/>
          <w:szCs w:val="24"/>
        </w:rPr>
        <w:t xml:space="preserve"> </w:t>
      </w:r>
      <w:proofErr w:type="spellStart"/>
      <w:r w:rsidRPr="003A0E08">
        <w:rPr>
          <w:rFonts w:ascii="Times New Roman" w:hAnsi="Times New Roman" w:cs="Times New Roman"/>
          <w:sz w:val="20"/>
          <w:szCs w:val="24"/>
        </w:rPr>
        <w:t>Balla</w:t>
      </w:r>
      <w:proofErr w:type="spellEnd"/>
      <w:r w:rsidRPr="003A0E08">
        <w:rPr>
          <w:rFonts w:ascii="Times New Roman" w:hAnsi="Times New Roman" w:cs="Times New Roman"/>
          <w:sz w:val="20"/>
          <w:szCs w:val="24"/>
        </w:rPr>
        <w:t xml:space="preserve"> Mustafa is affiliated to the Department of Therapeutic Nutrition, Faculty of Health Sciences, </w:t>
      </w:r>
      <w:proofErr w:type="spellStart"/>
      <w:r w:rsidRPr="003A0E08">
        <w:rPr>
          <w:rFonts w:ascii="Times New Roman" w:hAnsi="Times New Roman" w:cs="Times New Roman"/>
          <w:sz w:val="20"/>
          <w:szCs w:val="24"/>
        </w:rPr>
        <w:t>Misurata</w:t>
      </w:r>
      <w:proofErr w:type="spellEnd"/>
      <w:r w:rsidRPr="003A0E08">
        <w:rPr>
          <w:rFonts w:ascii="Times New Roman" w:hAnsi="Times New Roman" w:cs="Times New Roman"/>
          <w:sz w:val="20"/>
          <w:szCs w:val="24"/>
        </w:rPr>
        <w:t xml:space="preserve"> University, P.O. Box: 1018, </w:t>
      </w:r>
      <w:proofErr w:type="spellStart"/>
      <w:r w:rsidRPr="003A0E08">
        <w:rPr>
          <w:rFonts w:ascii="Times New Roman" w:hAnsi="Times New Roman" w:cs="Times New Roman"/>
          <w:sz w:val="20"/>
          <w:szCs w:val="24"/>
        </w:rPr>
        <w:t>Misurata</w:t>
      </w:r>
      <w:proofErr w:type="spellEnd"/>
      <w:r w:rsidRPr="003A0E08">
        <w:rPr>
          <w:rFonts w:ascii="Times New Roman" w:hAnsi="Times New Roman" w:cs="Times New Roman"/>
          <w:sz w:val="20"/>
          <w:szCs w:val="24"/>
        </w:rPr>
        <w:t xml:space="preserve">, Libya. </w:t>
      </w:r>
      <w:bookmarkEnd w:id="0"/>
    </w:p>
    <w:sectPr w:rsidR="002D674B" w:rsidRPr="003A0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74B"/>
    <w:rsid w:val="002D674B"/>
    <w:rsid w:val="003A0E08"/>
    <w:rsid w:val="005B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Swetha Sandala</cp:lastModifiedBy>
  <cp:revision>2</cp:revision>
  <dcterms:created xsi:type="dcterms:W3CDTF">2023-01-27T11:09:00Z</dcterms:created>
  <dcterms:modified xsi:type="dcterms:W3CDTF">2023-01-27T11:31:00Z</dcterms:modified>
</cp:coreProperties>
</file>