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00BB5" w14:textId="0ACF74E8" w:rsidR="009108C5" w:rsidRPr="00DC5BE2" w:rsidRDefault="00DC5BE2" w:rsidP="00DC5BE2">
      <w:pPr>
        <w:spacing w:after="200" w:line="276" w:lineRule="auto"/>
        <w:rPr>
          <w:rFonts w:ascii="Times New Roman" w:hAnsi="Times New Roman" w:cs="Times New Roman"/>
          <w:b/>
          <w:bCs/>
          <w:sz w:val="32"/>
          <w:szCs w:val="24"/>
          <w:lang w:val="en-GB"/>
        </w:rPr>
      </w:pPr>
      <w:bookmarkStart w:id="0" w:name="_GoBack"/>
      <w:r w:rsidRPr="00DC5BE2">
        <w:rPr>
          <w:rFonts w:ascii="Times New Roman" w:hAnsi="Times New Roman" w:cs="Times New Roman"/>
          <w:b/>
          <w:bCs/>
          <w:sz w:val="32"/>
          <w:szCs w:val="24"/>
          <w:lang w:val="en-GB"/>
        </w:rPr>
        <w:t>Reticulated platelets: A key to platelet heterogeneity</w:t>
      </w:r>
    </w:p>
    <w:p w14:paraId="500FB6A9" w14:textId="77777777" w:rsidR="00DC5BE2" w:rsidRDefault="00DC5BE2" w:rsidP="00DC5BE2">
      <w:pPr>
        <w:spacing w:after="200" w:line="276"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Nikita </w:t>
      </w:r>
      <w:proofErr w:type="spellStart"/>
      <w:r>
        <w:rPr>
          <w:rFonts w:ascii="Times New Roman" w:hAnsi="Times New Roman" w:cs="Times New Roman"/>
          <w:sz w:val="24"/>
          <w:szCs w:val="24"/>
          <w:lang w:val="en-GB"/>
        </w:rPr>
        <w:t>Ilkevich</w:t>
      </w:r>
      <w:proofErr w:type="spellEnd"/>
      <w:r>
        <w:rPr>
          <w:rFonts w:ascii="Times New Roman" w:hAnsi="Times New Roman" w:cs="Times New Roman"/>
          <w:sz w:val="24"/>
          <w:szCs w:val="24"/>
          <w:lang w:val="en-GB"/>
        </w:rPr>
        <w:t xml:space="preserve"> </w:t>
      </w:r>
    </w:p>
    <w:p w14:paraId="7E08CAB1" w14:textId="05DF61A4" w:rsidR="009108C5" w:rsidRPr="00DC5BE2" w:rsidRDefault="0063197A" w:rsidP="00DC5BE2">
      <w:pPr>
        <w:spacing w:after="200" w:line="276" w:lineRule="auto"/>
        <w:rPr>
          <w:rFonts w:ascii="Times New Roman" w:hAnsi="Times New Roman" w:cs="Times New Roman"/>
          <w:szCs w:val="24"/>
          <w:lang w:val="en-GB"/>
        </w:rPr>
      </w:pPr>
      <w:r w:rsidRPr="00DC5BE2">
        <w:rPr>
          <w:rFonts w:ascii="Times New Roman" w:hAnsi="Times New Roman" w:cs="Times New Roman"/>
          <w:szCs w:val="24"/>
          <w:lang w:val="en-GB"/>
        </w:rPr>
        <w:t>University of Westminster,</w:t>
      </w:r>
      <w:r w:rsidR="00835402" w:rsidRPr="00DC5BE2">
        <w:rPr>
          <w:rFonts w:ascii="Times New Roman" w:hAnsi="Times New Roman" w:cs="Times New Roman"/>
          <w:szCs w:val="24"/>
          <w:lang w:val="en-GB"/>
        </w:rPr>
        <w:t xml:space="preserve"> United Kingdom</w:t>
      </w:r>
    </w:p>
    <w:p w14:paraId="777725A9" w14:textId="65B187CC" w:rsidR="009108C5" w:rsidRPr="00DC5BE2" w:rsidRDefault="009108C5" w:rsidP="00DC5BE2">
      <w:pPr>
        <w:spacing w:after="200" w:line="276" w:lineRule="auto"/>
        <w:jc w:val="center"/>
        <w:rPr>
          <w:rFonts w:ascii="Times New Roman" w:hAnsi="Times New Roman" w:cs="Times New Roman"/>
          <w:b/>
          <w:bCs/>
          <w:sz w:val="24"/>
          <w:szCs w:val="24"/>
          <w:lang w:val="en-GB"/>
        </w:rPr>
      </w:pPr>
      <w:r w:rsidRPr="00DC5BE2">
        <w:rPr>
          <w:rFonts w:ascii="Times New Roman" w:hAnsi="Times New Roman" w:cs="Times New Roman"/>
          <w:b/>
          <w:bCs/>
          <w:sz w:val="24"/>
          <w:szCs w:val="24"/>
          <w:lang w:val="en-GB"/>
        </w:rPr>
        <w:t>Abstract</w:t>
      </w:r>
    </w:p>
    <w:p w14:paraId="094353D0" w14:textId="0D733878" w:rsidR="00E7734D" w:rsidRDefault="007A1BD0" w:rsidP="00DC5BE2">
      <w:pPr>
        <w:spacing w:after="200" w:line="276" w:lineRule="auto"/>
        <w:jc w:val="both"/>
        <w:rPr>
          <w:rFonts w:ascii="Times New Roman" w:hAnsi="Times New Roman" w:cs="Times New Roman"/>
          <w:sz w:val="20"/>
          <w:szCs w:val="24"/>
          <w:lang w:val="en-GB"/>
        </w:rPr>
      </w:pPr>
      <w:r w:rsidRPr="00DC5BE2">
        <w:rPr>
          <w:rFonts w:ascii="Times New Roman" w:hAnsi="Times New Roman" w:cs="Times New Roman"/>
          <w:sz w:val="20"/>
          <w:szCs w:val="24"/>
          <w:lang w:val="en-GB"/>
        </w:rPr>
        <w:t xml:space="preserve">Primary function of platelets is the formation of a protective barrier against blood loss. Secondary but no less important functions of platelets are tissue repair and immunity. </w:t>
      </w:r>
      <w:r w:rsidR="006B2990" w:rsidRPr="00DC5BE2">
        <w:rPr>
          <w:rFonts w:ascii="Times New Roman" w:hAnsi="Times New Roman" w:cs="Times New Roman"/>
          <w:sz w:val="20"/>
          <w:szCs w:val="24"/>
          <w:lang w:val="en-GB"/>
        </w:rPr>
        <w:t xml:space="preserve">Similar to the functioning of much of the rest of biology the exchange of phosphate groups plays a key role in the functioning of platelets. This exchange is potentiated by phosphatase and kinase enzymes. The CD148 encoded by </w:t>
      </w:r>
      <w:r w:rsidR="006B2990" w:rsidRPr="00DC5BE2">
        <w:rPr>
          <w:rFonts w:ascii="Times New Roman" w:hAnsi="Times New Roman" w:cs="Times New Roman"/>
          <w:i/>
          <w:iCs/>
          <w:sz w:val="20"/>
          <w:szCs w:val="24"/>
          <w:lang w:val="en-GB"/>
        </w:rPr>
        <w:t xml:space="preserve">PTPRJ </w:t>
      </w:r>
      <w:r w:rsidR="006B2990" w:rsidRPr="00DC5BE2">
        <w:rPr>
          <w:rFonts w:ascii="Times New Roman" w:hAnsi="Times New Roman" w:cs="Times New Roman"/>
          <w:sz w:val="20"/>
          <w:szCs w:val="24"/>
          <w:lang w:val="en-GB"/>
        </w:rPr>
        <w:t>is a phosphatase that is implicated both positive and negative regulation of platelet activation.</w:t>
      </w:r>
      <w:r w:rsidR="00D47DDF" w:rsidRPr="00DC5BE2">
        <w:rPr>
          <w:rFonts w:ascii="Times New Roman" w:hAnsi="Times New Roman" w:cs="Times New Roman"/>
          <w:sz w:val="20"/>
          <w:szCs w:val="24"/>
          <w:lang w:val="en-GB"/>
        </w:rPr>
        <w:t xml:space="preserve"> Despite recent advances in understanding of CD148 the exact </w:t>
      </w:r>
      <w:r w:rsidR="005D0A13" w:rsidRPr="00DC5BE2">
        <w:rPr>
          <w:rFonts w:ascii="Times New Roman" w:hAnsi="Times New Roman" w:cs="Times New Roman"/>
          <w:sz w:val="20"/>
          <w:szCs w:val="24"/>
          <w:lang w:val="en-GB"/>
        </w:rPr>
        <w:t xml:space="preserve">level of expression, structure, mechanism of action and precise role in the functioning of platelets are still not one hundred </w:t>
      </w:r>
      <w:proofErr w:type="spellStart"/>
      <w:r w:rsidR="005D0A13" w:rsidRPr="00DC5BE2">
        <w:rPr>
          <w:rFonts w:ascii="Times New Roman" w:hAnsi="Times New Roman" w:cs="Times New Roman"/>
          <w:sz w:val="20"/>
          <w:szCs w:val="24"/>
          <w:lang w:val="en-GB"/>
        </w:rPr>
        <w:t>percent</w:t>
      </w:r>
      <w:proofErr w:type="spellEnd"/>
      <w:r w:rsidR="005D0A13" w:rsidRPr="00DC5BE2">
        <w:rPr>
          <w:rFonts w:ascii="Times New Roman" w:hAnsi="Times New Roman" w:cs="Times New Roman"/>
          <w:sz w:val="20"/>
          <w:szCs w:val="24"/>
          <w:lang w:val="en-GB"/>
        </w:rPr>
        <w:t xml:space="preserve"> clear. The level of expression was the focus of the study. Finding the optimal method of visualising CD148 expression </w:t>
      </w:r>
      <w:r w:rsidR="00E7734D" w:rsidRPr="00DC5BE2">
        <w:rPr>
          <w:rFonts w:ascii="Times New Roman" w:hAnsi="Times New Roman" w:cs="Times New Roman"/>
          <w:sz w:val="20"/>
          <w:szCs w:val="24"/>
          <w:lang w:val="en-GB"/>
        </w:rPr>
        <w:t xml:space="preserve">was the initial aim of the study. In the process of investigation, the varying levels of CD148 expression have pointed the researchers to the possibility that different subpopulations of platelets express CD148 at a varying level. Reticulated platelets (younger subset of the platelet population) were picked as most promising subpopulation. </w:t>
      </w:r>
      <w:proofErr w:type="spellStart"/>
      <w:r w:rsidR="00E7734D" w:rsidRPr="00DC5BE2">
        <w:rPr>
          <w:rFonts w:ascii="Times New Roman" w:hAnsi="Times New Roman" w:cs="Times New Roman"/>
          <w:sz w:val="20"/>
          <w:szCs w:val="24"/>
          <w:lang w:val="en-GB"/>
        </w:rPr>
        <w:t>Syto</w:t>
      </w:r>
      <w:proofErr w:type="spellEnd"/>
      <w:r w:rsidR="00E7734D" w:rsidRPr="00DC5BE2">
        <w:rPr>
          <w:rFonts w:ascii="Times New Roman" w:hAnsi="Times New Roman" w:cs="Times New Roman"/>
          <w:sz w:val="20"/>
          <w:szCs w:val="24"/>
          <w:lang w:val="en-GB"/>
        </w:rPr>
        <w:t xml:space="preserve"> 13 a nucleic dye was used distinguish reticulated platelets rather than a more traditional </w:t>
      </w:r>
      <w:proofErr w:type="spellStart"/>
      <w:r w:rsidR="00E7734D" w:rsidRPr="00DC5BE2">
        <w:rPr>
          <w:rFonts w:ascii="Times New Roman" w:hAnsi="Times New Roman" w:cs="Times New Roman"/>
          <w:sz w:val="20"/>
          <w:szCs w:val="24"/>
          <w:lang w:val="en-GB"/>
        </w:rPr>
        <w:t>thiazole</w:t>
      </w:r>
      <w:proofErr w:type="spellEnd"/>
      <w:r w:rsidR="00E7734D" w:rsidRPr="00DC5BE2">
        <w:rPr>
          <w:rFonts w:ascii="Times New Roman" w:hAnsi="Times New Roman" w:cs="Times New Roman"/>
          <w:sz w:val="20"/>
          <w:szCs w:val="24"/>
          <w:lang w:val="en-GB"/>
        </w:rPr>
        <w:t xml:space="preserve"> orange. The study proved successful in confirming the differences in the level of expression of CD148. </w:t>
      </w:r>
      <w:r w:rsidR="007935B0" w:rsidRPr="00DC5BE2">
        <w:rPr>
          <w:rFonts w:ascii="Times New Roman" w:hAnsi="Times New Roman" w:cs="Times New Roman"/>
          <w:sz w:val="20"/>
          <w:szCs w:val="24"/>
          <w:lang w:val="en-GB"/>
        </w:rPr>
        <w:t xml:space="preserve">Reticulated platelets were shown statistically and graphically to express more CD148 </w:t>
      </w:r>
      <w:r w:rsidR="00DC5BE2" w:rsidRPr="00DC5BE2">
        <w:rPr>
          <w:rFonts w:ascii="Times New Roman" w:hAnsi="Times New Roman" w:cs="Times New Roman"/>
          <w:sz w:val="20"/>
          <w:szCs w:val="24"/>
          <w:lang w:val="en-GB"/>
        </w:rPr>
        <w:t>than</w:t>
      </w:r>
      <w:r w:rsidR="007935B0" w:rsidRPr="00DC5BE2">
        <w:rPr>
          <w:rFonts w:ascii="Times New Roman" w:hAnsi="Times New Roman" w:cs="Times New Roman"/>
          <w:sz w:val="20"/>
          <w:szCs w:val="24"/>
          <w:lang w:val="en-GB"/>
        </w:rPr>
        <w:t xml:space="preserve"> the rest of the population</w:t>
      </w:r>
      <w:r w:rsidR="00455F9E" w:rsidRPr="00DC5BE2">
        <w:rPr>
          <w:rFonts w:ascii="Times New Roman" w:hAnsi="Times New Roman" w:cs="Times New Roman"/>
          <w:sz w:val="20"/>
          <w:szCs w:val="24"/>
          <w:lang w:val="en-GB"/>
        </w:rPr>
        <w:t xml:space="preserve"> (Figure 1)</w:t>
      </w:r>
      <w:r w:rsidR="007935B0" w:rsidRPr="00DC5BE2">
        <w:rPr>
          <w:rFonts w:ascii="Times New Roman" w:hAnsi="Times New Roman" w:cs="Times New Roman"/>
          <w:sz w:val="20"/>
          <w:szCs w:val="24"/>
          <w:lang w:val="en-GB"/>
        </w:rPr>
        <w:t>. Suggestions for further research and modalities of possible therapies were made.</w:t>
      </w:r>
    </w:p>
    <w:p w14:paraId="657D03B4" w14:textId="77777777" w:rsidR="00DC5BE2" w:rsidRDefault="00DC5BE2" w:rsidP="00DC5BE2">
      <w:pPr>
        <w:spacing w:after="200" w:line="276" w:lineRule="auto"/>
        <w:jc w:val="center"/>
        <w:rPr>
          <w:rFonts w:ascii="Times New Roman" w:hAnsi="Times New Roman" w:cs="Times New Roman"/>
          <w:sz w:val="20"/>
          <w:szCs w:val="24"/>
          <w:lang w:val="en-GB"/>
        </w:rPr>
      </w:pPr>
      <w:r>
        <w:rPr>
          <w:rFonts w:ascii="Times New Roman" w:hAnsi="Times New Roman" w:cs="Times New Roman"/>
          <w:noProof/>
          <w:sz w:val="20"/>
          <w:szCs w:val="24"/>
          <w:lang w:val="en-US"/>
        </w:rPr>
        <w:drawing>
          <wp:inline distT="0" distB="0" distL="0" distR="0" wp14:anchorId="13465DB9" wp14:editId="71825224">
            <wp:extent cx="4033543" cy="2504661"/>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36060" cy="2506224"/>
                    </a:xfrm>
                    <a:prstGeom prst="rect">
                      <a:avLst/>
                    </a:prstGeom>
                    <a:noFill/>
                  </pic:spPr>
                </pic:pic>
              </a:graphicData>
            </a:graphic>
          </wp:inline>
        </w:drawing>
      </w:r>
      <w:bookmarkStart w:id="1" w:name="_Hlk120118160"/>
    </w:p>
    <w:p w14:paraId="78874A15" w14:textId="726824D6" w:rsidR="00DC5BE2" w:rsidRDefault="0017245C" w:rsidP="00DC5BE2">
      <w:pPr>
        <w:spacing w:after="200" w:line="276" w:lineRule="auto"/>
        <w:jc w:val="center"/>
        <w:rPr>
          <w:rFonts w:ascii="Times New Roman" w:hAnsi="Times New Roman" w:cs="Times New Roman"/>
          <w:i/>
          <w:sz w:val="14"/>
          <w:szCs w:val="24"/>
          <w:lang w:val="en-GB"/>
        </w:rPr>
      </w:pPr>
      <w:proofErr w:type="gramStart"/>
      <w:r w:rsidRPr="00DC5BE2">
        <w:rPr>
          <w:rFonts w:ascii="Times New Roman" w:hAnsi="Times New Roman" w:cs="Times New Roman"/>
          <w:b/>
          <w:bCs/>
          <w:i/>
          <w:sz w:val="18"/>
          <w:szCs w:val="24"/>
          <w:lang w:val="en-GB"/>
        </w:rPr>
        <w:t>Figure</w:t>
      </w:r>
      <w:r w:rsidR="00DC5BE2">
        <w:rPr>
          <w:rFonts w:ascii="Times New Roman" w:hAnsi="Times New Roman" w:cs="Times New Roman"/>
          <w:b/>
          <w:bCs/>
          <w:i/>
          <w:sz w:val="18"/>
          <w:szCs w:val="24"/>
          <w:lang w:val="en-GB"/>
        </w:rPr>
        <w:t xml:space="preserve"> 1.</w:t>
      </w:r>
      <w:proofErr w:type="gramEnd"/>
      <w:r w:rsidR="004278A5">
        <w:rPr>
          <w:rFonts w:ascii="Times New Roman" w:hAnsi="Times New Roman" w:cs="Times New Roman"/>
          <w:b/>
          <w:bCs/>
          <w:i/>
          <w:sz w:val="18"/>
          <w:szCs w:val="24"/>
          <w:lang w:val="en-GB"/>
        </w:rPr>
        <w:t xml:space="preserve"> </w:t>
      </w:r>
      <w:proofErr w:type="gramStart"/>
      <w:r w:rsidRPr="00DC5BE2">
        <w:rPr>
          <w:rFonts w:ascii="Times New Roman" w:hAnsi="Times New Roman" w:cs="Times New Roman"/>
          <w:i/>
          <w:sz w:val="18"/>
          <w:szCs w:val="24"/>
          <w:lang w:val="en-GB"/>
        </w:rPr>
        <w:t>Graphical conformation of Hypothesis.</w:t>
      </w:r>
      <w:proofErr w:type="gramEnd"/>
      <w:r w:rsidRPr="00DC5BE2">
        <w:rPr>
          <w:rFonts w:ascii="Times New Roman" w:hAnsi="Times New Roman" w:cs="Times New Roman"/>
          <w:i/>
          <w:sz w:val="18"/>
          <w:szCs w:val="24"/>
          <w:lang w:val="en-GB"/>
        </w:rPr>
        <w:t xml:space="preserve"> Here the two subsets a</w:t>
      </w:r>
      <w:r w:rsidR="00FB7706" w:rsidRPr="00DC5BE2">
        <w:rPr>
          <w:rFonts w:ascii="Times New Roman" w:hAnsi="Times New Roman" w:cs="Times New Roman"/>
          <w:i/>
          <w:sz w:val="18"/>
          <w:szCs w:val="24"/>
          <w:lang w:val="en-GB"/>
        </w:rPr>
        <w:t>nd</w:t>
      </w:r>
      <w:r w:rsidRPr="00DC5BE2">
        <w:rPr>
          <w:rFonts w:ascii="Times New Roman" w:hAnsi="Times New Roman" w:cs="Times New Roman"/>
          <w:i/>
          <w:sz w:val="18"/>
          <w:szCs w:val="24"/>
          <w:lang w:val="en-GB"/>
        </w:rPr>
        <w:t xml:space="preserve"> </w:t>
      </w:r>
      <w:proofErr w:type="spellStart"/>
      <w:r w:rsidRPr="00DC5BE2">
        <w:rPr>
          <w:rFonts w:ascii="Times New Roman" w:hAnsi="Times New Roman" w:cs="Times New Roman"/>
          <w:i/>
          <w:sz w:val="18"/>
          <w:szCs w:val="24"/>
          <w:lang w:val="en-GB"/>
        </w:rPr>
        <w:t>overlay</w:t>
      </w:r>
      <w:r w:rsidR="00FB7706" w:rsidRPr="00DC5BE2">
        <w:rPr>
          <w:rFonts w:ascii="Times New Roman" w:hAnsi="Times New Roman" w:cs="Times New Roman"/>
          <w:i/>
          <w:sz w:val="18"/>
          <w:szCs w:val="24"/>
          <w:lang w:val="en-GB"/>
        </w:rPr>
        <w:t>ed</w:t>
      </w:r>
      <w:proofErr w:type="spellEnd"/>
      <w:r w:rsidR="00FB7706" w:rsidRPr="00DC5BE2">
        <w:rPr>
          <w:rFonts w:ascii="Times New Roman" w:hAnsi="Times New Roman" w:cs="Times New Roman"/>
          <w:i/>
          <w:sz w:val="18"/>
          <w:szCs w:val="24"/>
          <w:lang w:val="en-GB"/>
        </w:rPr>
        <w:t xml:space="preserve"> on top of general population and arranged according to their FSC-a and SSC-A on the X-axis with the signal strength of </w:t>
      </w:r>
      <w:proofErr w:type="spellStart"/>
      <w:r w:rsidR="00FB7706" w:rsidRPr="00DC5BE2">
        <w:rPr>
          <w:rFonts w:ascii="Times New Roman" w:hAnsi="Times New Roman" w:cs="Times New Roman"/>
          <w:i/>
          <w:sz w:val="18"/>
          <w:szCs w:val="24"/>
          <w:lang w:val="en-GB"/>
        </w:rPr>
        <w:t>syto</w:t>
      </w:r>
      <w:proofErr w:type="spellEnd"/>
      <w:r w:rsidR="00FB7706" w:rsidRPr="00DC5BE2">
        <w:rPr>
          <w:rFonts w:ascii="Times New Roman" w:hAnsi="Times New Roman" w:cs="Times New Roman"/>
          <w:i/>
          <w:sz w:val="18"/>
          <w:szCs w:val="24"/>
          <w:lang w:val="en-GB"/>
        </w:rPr>
        <w:t xml:space="preserve"> 13 and PE labels on Y-axis of the panels A and B for </w:t>
      </w:r>
      <w:proofErr w:type="spellStart"/>
      <w:r w:rsidR="00FB7706" w:rsidRPr="00DC5BE2">
        <w:rPr>
          <w:rFonts w:ascii="Times New Roman" w:hAnsi="Times New Roman" w:cs="Times New Roman"/>
          <w:i/>
          <w:sz w:val="18"/>
          <w:szCs w:val="24"/>
          <w:lang w:val="en-GB"/>
        </w:rPr>
        <w:t>syto</w:t>
      </w:r>
      <w:proofErr w:type="spellEnd"/>
      <w:r w:rsidR="00FB7706" w:rsidRPr="00DC5BE2">
        <w:rPr>
          <w:rFonts w:ascii="Times New Roman" w:hAnsi="Times New Roman" w:cs="Times New Roman"/>
          <w:i/>
          <w:sz w:val="18"/>
          <w:szCs w:val="24"/>
          <w:lang w:val="en-GB"/>
        </w:rPr>
        <w:t xml:space="preserve"> 13 and C and D for PE signal of the anti-CD148. </w:t>
      </w:r>
      <w:proofErr w:type="gramStart"/>
      <w:r w:rsidR="00FB7706" w:rsidRPr="00DC5BE2">
        <w:rPr>
          <w:rFonts w:ascii="Times New Roman" w:hAnsi="Times New Roman" w:cs="Times New Roman"/>
          <w:i/>
          <w:sz w:val="18"/>
          <w:szCs w:val="24"/>
          <w:lang w:val="en-GB"/>
        </w:rPr>
        <w:t>The adjunct histogram’s represent frequency of cells in either.</w:t>
      </w:r>
      <w:bookmarkEnd w:id="1"/>
      <w:proofErr w:type="gramEnd"/>
    </w:p>
    <w:p w14:paraId="63135BE1" w14:textId="0E1B96DF" w:rsidR="0063197A" w:rsidRPr="00DC5BE2" w:rsidRDefault="00DC5BE2" w:rsidP="00DC5BE2">
      <w:pPr>
        <w:spacing w:after="200" w:line="276" w:lineRule="auto"/>
        <w:rPr>
          <w:rFonts w:ascii="Times New Roman" w:hAnsi="Times New Roman" w:cs="Times New Roman"/>
          <w:i/>
          <w:sz w:val="14"/>
          <w:szCs w:val="24"/>
          <w:lang w:val="en-GB"/>
        </w:rPr>
      </w:pPr>
      <w:r>
        <w:rPr>
          <w:rFonts w:ascii="Times New Roman" w:hAnsi="Times New Roman" w:cs="Times New Roman"/>
          <w:b/>
          <w:bCs/>
          <w:sz w:val="24"/>
          <w:szCs w:val="24"/>
          <w:lang w:val="en-GB"/>
        </w:rPr>
        <w:t>Biography</w:t>
      </w:r>
    </w:p>
    <w:p w14:paraId="172DFC7F" w14:textId="69B6320E" w:rsidR="00601C47" w:rsidRPr="00DC5BE2" w:rsidRDefault="00DC5BE2" w:rsidP="00DC5BE2">
      <w:pPr>
        <w:spacing w:after="200" w:line="276" w:lineRule="auto"/>
        <w:jc w:val="both"/>
        <w:rPr>
          <w:rFonts w:ascii="Times New Roman" w:hAnsi="Times New Roman" w:cs="Times New Roman"/>
          <w:sz w:val="24"/>
          <w:szCs w:val="24"/>
          <w:lang w:val="en-GB"/>
        </w:rPr>
      </w:pPr>
      <w:r>
        <w:rPr>
          <w:rFonts w:ascii="Times New Roman" w:hAnsi="Times New Roman" w:cs="Times New Roman"/>
          <w:sz w:val="20"/>
          <w:szCs w:val="24"/>
          <w:lang w:val="en-GB"/>
        </w:rPr>
        <w:t>Nikita has</w:t>
      </w:r>
      <w:r w:rsidR="000F003E" w:rsidRPr="00DC5BE2">
        <w:rPr>
          <w:rFonts w:ascii="Times New Roman" w:hAnsi="Times New Roman" w:cs="Times New Roman"/>
          <w:sz w:val="20"/>
          <w:szCs w:val="24"/>
          <w:lang w:val="en-GB"/>
        </w:rPr>
        <w:t xml:space="preserve"> expertise in flow </w:t>
      </w:r>
      <w:proofErr w:type="spellStart"/>
      <w:r w:rsidR="000F003E" w:rsidRPr="00DC5BE2">
        <w:rPr>
          <w:rFonts w:ascii="Times New Roman" w:hAnsi="Times New Roman" w:cs="Times New Roman"/>
          <w:sz w:val="20"/>
          <w:szCs w:val="24"/>
          <w:lang w:val="en-GB"/>
        </w:rPr>
        <w:t>cytometry</w:t>
      </w:r>
      <w:proofErr w:type="spellEnd"/>
      <w:r w:rsidR="000F003E" w:rsidRPr="00DC5BE2">
        <w:rPr>
          <w:rFonts w:ascii="Times New Roman" w:hAnsi="Times New Roman" w:cs="Times New Roman"/>
          <w:sz w:val="20"/>
          <w:szCs w:val="24"/>
          <w:lang w:val="en-GB"/>
        </w:rPr>
        <w:t xml:space="preserve">. Combined with evolutionary biology new insight has been made into the expression of CD148 and into the way in which it relates to platelet subpopulations. The work was mainly based on the Mori </w:t>
      </w:r>
      <w:r w:rsidR="000F003E" w:rsidRPr="00DC5BE2">
        <w:rPr>
          <w:rFonts w:ascii="Times New Roman" w:hAnsi="Times New Roman" w:cs="Times New Roman"/>
          <w:i/>
          <w:iCs/>
          <w:sz w:val="20"/>
          <w:szCs w:val="24"/>
          <w:lang w:val="en-GB"/>
        </w:rPr>
        <w:t>et al</w:t>
      </w:r>
      <w:r w:rsidR="000F003E" w:rsidRPr="00DC5BE2">
        <w:rPr>
          <w:rFonts w:ascii="Times New Roman" w:hAnsi="Times New Roman" w:cs="Times New Roman"/>
          <w:sz w:val="20"/>
          <w:szCs w:val="24"/>
          <w:lang w:val="en-GB"/>
        </w:rPr>
        <w:t xml:space="preserve"> 2018. </w:t>
      </w:r>
      <w:bookmarkEnd w:id="0"/>
    </w:p>
    <w:sectPr w:rsidR="00601C47" w:rsidRPr="00DC5BE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00BD23" w14:textId="77777777" w:rsidR="006C2175" w:rsidRDefault="006C2175" w:rsidP="00DC5BE2">
      <w:pPr>
        <w:spacing w:after="0" w:line="240" w:lineRule="auto"/>
      </w:pPr>
      <w:r>
        <w:separator/>
      </w:r>
    </w:p>
  </w:endnote>
  <w:endnote w:type="continuationSeparator" w:id="0">
    <w:p w14:paraId="3945FA15" w14:textId="77777777" w:rsidR="006C2175" w:rsidRDefault="006C2175" w:rsidP="00DC5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13FAD9" w14:textId="77777777" w:rsidR="006C2175" w:rsidRDefault="006C2175" w:rsidP="00DC5BE2">
      <w:pPr>
        <w:spacing w:after="0" w:line="240" w:lineRule="auto"/>
      </w:pPr>
      <w:r>
        <w:separator/>
      </w:r>
    </w:p>
  </w:footnote>
  <w:footnote w:type="continuationSeparator" w:id="0">
    <w:p w14:paraId="04BD2953" w14:textId="77777777" w:rsidR="006C2175" w:rsidRDefault="006C2175" w:rsidP="00DC5B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BD0"/>
    <w:rsid w:val="0007048B"/>
    <w:rsid w:val="000F003E"/>
    <w:rsid w:val="00124C2E"/>
    <w:rsid w:val="0017245C"/>
    <w:rsid w:val="004278A5"/>
    <w:rsid w:val="00455F9E"/>
    <w:rsid w:val="005A09F6"/>
    <w:rsid w:val="005D0A13"/>
    <w:rsid w:val="00601C47"/>
    <w:rsid w:val="0063197A"/>
    <w:rsid w:val="00642948"/>
    <w:rsid w:val="006B2990"/>
    <w:rsid w:val="006C2175"/>
    <w:rsid w:val="007935B0"/>
    <w:rsid w:val="007A1BD0"/>
    <w:rsid w:val="00835402"/>
    <w:rsid w:val="009108C5"/>
    <w:rsid w:val="00D47DDF"/>
    <w:rsid w:val="00DC5BE2"/>
    <w:rsid w:val="00E40CEF"/>
    <w:rsid w:val="00E7734D"/>
    <w:rsid w:val="00FB7706"/>
    <w:rsid w:val="00FE6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03E"/>
    <w:rPr>
      <w:color w:val="0563C1" w:themeColor="hyperlink"/>
      <w:u w:val="single"/>
    </w:rPr>
  </w:style>
  <w:style w:type="character" w:customStyle="1" w:styleId="UnresolvedMention">
    <w:name w:val="Unresolved Mention"/>
    <w:basedOn w:val="DefaultParagraphFont"/>
    <w:uiPriority w:val="99"/>
    <w:semiHidden/>
    <w:unhideWhenUsed/>
    <w:rsid w:val="000F003E"/>
    <w:rPr>
      <w:color w:val="605E5C"/>
      <w:shd w:val="clear" w:color="auto" w:fill="E1DFDD"/>
    </w:rPr>
  </w:style>
  <w:style w:type="paragraph" w:styleId="BalloonText">
    <w:name w:val="Balloon Text"/>
    <w:basedOn w:val="Normal"/>
    <w:link w:val="BalloonTextChar"/>
    <w:uiPriority w:val="99"/>
    <w:semiHidden/>
    <w:unhideWhenUsed/>
    <w:rsid w:val="00DC5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BE2"/>
    <w:rPr>
      <w:rFonts w:ascii="Tahoma" w:hAnsi="Tahoma" w:cs="Tahoma"/>
      <w:sz w:val="16"/>
      <w:szCs w:val="16"/>
    </w:rPr>
  </w:style>
  <w:style w:type="paragraph" w:styleId="Header">
    <w:name w:val="header"/>
    <w:basedOn w:val="Normal"/>
    <w:link w:val="HeaderChar"/>
    <w:uiPriority w:val="99"/>
    <w:unhideWhenUsed/>
    <w:rsid w:val="00DC5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BE2"/>
  </w:style>
  <w:style w:type="paragraph" w:styleId="Footer">
    <w:name w:val="footer"/>
    <w:basedOn w:val="Normal"/>
    <w:link w:val="FooterChar"/>
    <w:uiPriority w:val="99"/>
    <w:unhideWhenUsed/>
    <w:rsid w:val="00DC5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B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03E"/>
    <w:rPr>
      <w:color w:val="0563C1" w:themeColor="hyperlink"/>
      <w:u w:val="single"/>
    </w:rPr>
  </w:style>
  <w:style w:type="character" w:customStyle="1" w:styleId="UnresolvedMention">
    <w:name w:val="Unresolved Mention"/>
    <w:basedOn w:val="DefaultParagraphFont"/>
    <w:uiPriority w:val="99"/>
    <w:semiHidden/>
    <w:unhideWhenUsed/>
    <w:rsid w:val="000F003E"/>
    <w:rPr>
      <w:color w:val="605E5C"/>
      <w:shd w:val="clear" w:color="auto" w:fill="E1DFDD"/>
    </w:rPr>
  </w:style>
  <w:style w:type="paragraph" w:styleId="BalloonText">
    <w:name w:val="Balloon Text"/>
    <w:basedOn w:val="Normal"/>
    <w:link w:val="BalloonTextChar"/>
    <w:uiPriority w:val="99"/>
    <w:semiHidden/>
    <w:unhideWhenUsed/>
    <w:rsid w:val="00DC5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BE2"/>
    <w:rPr>
      <w:rFonts w:ascii="Tahoma" w:hAnsi="Tahoma" w:cs="Tahoma"/>
      <w:sz w:val="16"/>
      <w:szCs w:val="16"/>
    </w:rPr>
  </w:style>
  <w:style w:type="paragraph" w:styleId="Header">
    <w:name w:val="header"/>
    <w:basedOn w:val="Normal"/>
    <w:link w:val="HeaderChar"/>
    <w:uiPriority w:val="99"/>
    <w:unhideWhenUsed/>
    <w:rsid w:val="00DC5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BE2"/>
  </w:style>
  <w:style w:type="paragraph" w:styleId="Footer">
    <w:name w:val="footer"/>
    <w:basedOn w:val="Normal"/>
    <w:link w:val="FooterChar"/>
    <w:uiPriority w:val="99"/>
    <w:unhideWhenUsed/>
    <w:rsid w:val="00DC5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Ilkevich</dc:creator>
  <cp:keywords/>
  <dc:description/>
  <cp:lastModifiedBy>Swetha Sandala</cp:lastModifiedBy>
  <cp:revision>5</cp:revision>
  <dcterms:created xsi:type="dcterms:W3CDTF">2022-11-23T12:25:00Z</dcterms:created>
  <dcterms:modified xsi:type="dcterms:W3CDTF">2022-11-23T12:38:00Z</dcterms:modified>
</cp:coreProperties>
</file>