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25C34">
      <w:pPr>
        <w:rPr>
          <w:rFonts w:ascii="Times New Roman" w:hAnsi="Times New Roman" w:cs="Times New Roman"/>
          <w:b/>
          <w:sz w:val="32"/>
        </w:rPr>
      </w:pPr>
      <w:r w:rsidRPr="00B25C34">
        <w:rPr>
          <w:rFonts w:ascii="Times New Roman" w:hAnsi="Times New Roman" w:cs="Times New Roman"/>
          <w:b/>
          <w:sz w:val="32"/>
        </w:rPr>
        <w:t xml:space="preserve">Comparable b2a2/e13a2 and b3a2/e14a2 reporting in </w:t>
      </w:r>
      <w:proofErr w:type="spellStart"/>
      <w:r w:rsidRPr="00B25C34">
        <w:rPr>
          <w:rFonts w:ascii="Times New Roman" w:hAnsi="Times New Roman" w:cs="Times New Roman"/>
          <w:b/>
          <w:sz w:val="32"/>
        </w:rPr>
        <w:t>Xpert</w:t>
      </w:r>
      <w:proofErr w:type="spellEnd"/>
      <w:r w:rsidRPr="00B25C34">
        <w:rPr>
          <w:rFonts w:ascii="Times New Roman" w:hAnsi="Times New Roman" w:cs="Times New Roman"/>
          <w:b/>
          <w:sz w:val="32"/>
        </w:rPr>
        <w:t xml:space="preserve">® BCR-ABL ultra when calibrated by WHO </w:t>
      </w:r>
      <w:r w:rsidRPr="0096344B">
        <w:rPr>
          <w:rFonts w:ascii="Times New Roman" w:hAnsi="Times New Roman" w:cs="Times New Roman"/>
          <w:b/>
          <w:i/>
          <w:sz w:val="32"/>
        </w:rPr>
        <w:t>IS</w:t>
      </w:r>
      <w:r w:rsidRPr="00B25C34">
        <w:rPr>
          <w:rFonts w:ascii="Times New Roman" w:hAnsi="Times New Roman" w:cs="Times New Roman"/>
          <w:b/>
          <w:sz w:val="32"/>
        </w:rPr>
        <w:t xml:space="preserve"> and by IVT-RNA copy number</w:t>
      </w:r>
    </w:p>
    <w:p w:rsidR="00B25C34" w:rsidRDefault="00B25C34">
      <w:pPr>
        <w:rPr>
          <w:rFonts w:ascii="Times New Roman" w:hAnsi="Times New Roman" w:cs="Times New Roman"/>
          <w:sz w:val="24"/>
        </w:rPr>
      </w:pPr>
      <w:proofErr w:type="spellStart"/>
      <w:r w:rsidRPr="00B25C34">
        <w:rPr>
          <w:rFonts w:ascii="Times New Roman" w:hAnsi="Times New Roman" w:cs="Times New Roman"/>
          <w:sz w:val="24"/>
        </w:rPr>
        <w:t>Huilin</w:t>
      </w:r>
      <w:proofErr w:type="spellEnd"/>
      <w:r w:rsidRPr="00B25C34">
        <w:rPr>
          <w:rFonts w:ascii="Times New Roman" w:hAnsi="Times New Roman" w:cs="Times New Roman"/>
          <w:sz w:val="24"/>
        </w:rPr>
        <w:t xml:space="preserve"> Wei</w:t>
      </w:r>
      <w:r>
        <w:rPr>
          <w:rFonts w:ascii="Times New Roman" w:hAnsi="Times New Roman" w:cs="Times New Roman"/>
          <w:sz w:val="24"/>
        </w:rPr>
        <w:t>*</w:t>
      </w:r>
      <w:r w:rsidRPr="00B25C34">
        <w:rPr>
          <w:rFonts w:ascii="Times New Roman" w:hAnsi="Times New Roman" w:cs="Times New Roman"/>
          <w:sz w:val="24"/>
        </w:rPr>
        <w:t xml:space="preserve">, Tran </w:t>
      </w:r>
      <w:proofErr w:type="spellStart"/>
      <w:r w:rsidRPr="00B25C34">
        <w:rPr>
          <w:rFonts w:ascii="Times New Roman" w:hAnsi="Times New Roman" w:cs="Times New Roman"/>
          <w:sz w:val="24"/>
        </w:rPr>
        <w:t>Tran</w:t>
      </w:r>
      <w:proofErr w:type="spellEnd"/>
      <w:r w:rsidRPr="00B25C34">
        <w:rPr>
          <w:rFonts w:ascii="Times New Roman" w:hAnsi="Times New Roman" w:cs="Times New Roman"/>
          <w:sz w:val="24"/>
        </w:rPr>
        <w:t xml:space="preserve">, Jessica </w:t>
      </w:r>
      <w:proofErr w:type="spellStart"/>
      <w:r w:rsidRPr="00B25C34">
        <w:rPr>
          <w:rFonts w:ascii="Times New Roman" w:hAnsi="Times New Roman" w:cs="Times New Roman"/>
          <w:sz w:val="24"/>
        </w:rPr>
        <w:t>Saini</w:t>
      </w:r>
      <w:proofErr w:type="spellEnd"/>
      <w:r w:rsidRPr="00B25C34">
        <w:rPr>
          <w:rFonts w:ascii="Times New Roman" w:hAnsi="Times New Roman" w:cs="Times New Roman"/>
          <w:sz w:val="24"/>
        </w:rPr>
        <w:t xml:space="preserve">, </w:t>
      </w:r>
      <w:proofErr w:type="spellStart"/>
      <w:r w:rsidRPr="00B25C34">
        <w:rPr>
          <w:rFonts w:ascii="Times New Roman" w:hAnsi="Times New Roman" w:cs="Times New Roman"/>
          <w:sz w:val="24"/>
        </w:rPr>
        <w:t>Krupa</w:t>
      </w:r>
      <w:proofErr w:type="spellEnd"/>
      <w:r w:rsidRPr="00B25C34">
        <w:rPr>
          <w:rFonts w:ascii="Times New Roman" w:hAnsi="Times New Roman" w:cs="Times New Roman"/>
          <w:sz w:val="24"/>
        </w:rPr>
        <w:t xml:space="preserve"> </w:t>
      </w:r>
      <w:proofErr w:type="spellStart"/>
      <w:r w:rsidRPr="00B25C34">
        <w:rPr>
          <w:rFonts w:ascii="Times New Roman" w:hAnsi="Times New Roman" w:cs="Times New Roman"/>
          <w:sz w:val="24"/>
        </w:rPr>
        <w:t>Shridhar</w:t>
      </w:r>
      <w:proofErr w:type="spellEnd"/>
      <w:r w:rsidRPr="00B25C34">
        <w:rPr>
          <w:rFonts w:ascii="Times New Roman" w:hAnsi="Times New Roman" w:cs="Times New Roman"/>
          <w:sz w:val="24"/>
        </w:rPr>
        <w:t>, Nick Wang</w:t>
      </w:r>
      <w:r>
        <w:rPr>
          <w:rFonts w:ascii="Times New Roman" w:hAnsi="Times New Roman" w:cs="Times New Roman"/>
          <w:sz w:val="24"/>
        </w:rPr>
        <w:t xml:space="preserve"> and</w:t>
      </w:r>
      <w:r w:rsidRPr="00B25C34">
        <w:rPr>
          <w:rFonts w:ascii="Times New Roman" w:hAnsi="Times New Roman" w:cs="Times New Roman"/>
          <w:sz w:val="24"/>
        </w:rPr>
        <w:t xml:space="preserve"> </w:t>
      </w:r>
      <w:proofErr w:type="spellStart"/>
      <w:r w:rsidRPr="00B25C34">
        <w:rPr>
          <w:rFonts w:ascii="Times New Roman" w:hAnsi="Times New Roman" w:cs="Times New Roman"/>
          <w:sz w:val="24"/>
        </w:rPr>
        <w:t>Gwo</w:t>
      </w:r>
      <w:proofErr w:type="spellEnd"/>
      <w:r w:rsidRPr="00B25C34">
        <w:rPr>
          <w:rFonts w:ascii="Times New Roman" w:hAnsi="Times New Roman" w:cs="Times New Roman"/>
          <w:sz w:val="24"/>
        </w:rPr>
        <w:t>-Jen Day</w:t>
      </w:r>
    </w:p>
    <w:p w:rsidR="00B25C34" w:rsidRPr="00B25C34" w:rsidRDefault="00B25C34">
      <w:pPr>
        <w:rPr>
          <w:rFonts w:ascii="Times New Roman" w:hAnsi="Times New Roman" w:cs="Times New Roman"/>
        </w:rPr>
      </w:pPr>
      <w:r w:rsidRPr="00B25C34">
        <w:rPr>
          <w:rFonts w:ascii="Times New Roman" w:hAnsi="Times New Roman" w:cs="Times New Roman"/>
        </w:rPr>
        <w:t>Cepheid, USA</w:t>
      </w:r>
    </w:p>
    <w:p w:rsidR="00B25C34" w:rsidRPr="00B25C34" w:rsidRDefault="00B25C34" w:rsidP="00B25C34">
      <w:pPr>
        <w:jc w:val="center"/>
        <w:rPr>
          <w:rFonts w:ascii="Times New Roman" w:hAnsi="Times New Roman" w:cs="Times New Roman"/>
          <w:b/>
          <w:sz w:val="24"/>
        </w:rPr>
      </w:pPr>
      <w:r w:rsidRPr="00B25C34">
        <w:rPr>
          <w:rFonts w:ascii="Times New Roman" w:hAnsi="Times New Roman" w:cs="Times New Roman"/>
          <w:b/>
          <w:sz w:val="24"/>
        </w:rPr>
        <w:t>Abstract</w:t>
      </w:r>
    </w:p>
    <w:p w:rsidR="00B25C34" w:rsidRDefault="00B25C34" w:rsidP="00B25C34">
      <w:pPr>
        <w:jc w:val="both"/>
        <w:rPr>
          <w:rFonts w:ascii="Times New Roman" w:hAnsi="Times New Roman" w:cs="Times New Roman"/>
          <w:sz w:val="20"/>
        </w:rPr>
      </w:pPr>
      <w:r w:rsidRPr="00B25C34">
        <w:rPr>
          <w:rFonts w:ascii="Times New Roman" w:hAnsi="Times New Roman" w:cs="Times New Roman"/>
          <w:b/>
          <w:sz w:val="20"/>
        </w:rPr>
        <w:t>Introduction:</w:t>
      </w:r>
      <w:r w:rsidRPr="00B25C34">
        <w:rPr>
          <w:rFonts w:ascii="Times New Roman" w:hAnsi="Times New Roman" w:cs="Times New Roman"/>
          <w:sz w:val="20"/>
        </w:rPr>
        <w:t xml:space="preserve"> </w:t>
      </w:r>
      <w:proofErr w:type="spellStart"/>
      <w:r w:rsidRPr="00B25C34">
        <w:rPr>
          <w:rFonts w:ascii="Times New Roman" w:hAnsi="Times New Roman" w:cs="Times New Roman"/>
          <w:sz w:val="20"/>
        </w:rPr>
        <w:t>Xpert</w:t>
      </w:r>
      <w:proofErr w:type="spellEnd"/>
      <w:r w:rsidRPr="00B25C34">
        <w:rPr>
          <w:rFonts w:ascii="Times New Roman" w:hAnsi="Times New Roman" w:cs="Times New Roman"/>
          <w:sz w:val="20"/>
        </w:rPr>
        <w:t xml:space="preserve">® BCR-ABL Ultra, automated cartridge-based assay for monitoring BCR-ABL transcript levels, is calibrated by WHO </w:t>
      </w:r>
      <w:r w:rsidRPr="0096344B">
        <w:rPr>
          <w:rFonts w:ascii="Times New Roman" w:hAnsi="Times New Roman" w:cs="Times New Roman"/>
          <w:i/>
          <w:sz w:val="20"/>
        </w:rPr>
        <w:t>IS</w:t>
      </w:r>
      <w:r w:rsidRPr="00B25C34">
        <w:rPr>
          <w:rFonts w:ascii="Times New Roman" w:hAnsi="Times New Roman" w:cs="Times New Roman"/>
          <w:sz w:val="20"/>
        </w:rPr>
        <w:t xml:space="preserve"> to standardize the %</w:t>
      </w:r>
      <w:r>
        <w:rPr>
          <w:rFonts w:ascii="Times New Roman" w:hAnsi="Times New Roman" w:cs="Times New Roman"/>
          <w:sz w:val="20"/>
        </w:rPr>
        <w:t xml:space="preserve"> </w:t>
      </w:r>
      <w:r w:rsidRPr="00B25C34">
        <w:rPr>
          <w:rFonts w:ascii="Times New Roman" w:hAnsi="Times New Roman" w:cs="Times New Roman"/>
          <w:sz w:val="20"/>
        </w:rPr>
        <w:t>reporting for both b2a2/e13a2 BCR-ABL (e13a2) and b3a2/e14a2 BCR-ABL (e14a2) relative to control ABL gene in peripheral blood of patients as a standard management of</w:t>
      </w:r>
      <w:r>
        <w:rPr>
          <w:rFonts w:ascii="Times New Roman" w:hAnsi="Times New Roman" w:cs="Times New Roman"/>
          <w:sz w:val="20"/>
        </w:rPr>
        <w:t xml:space="preserve"> Chronic Myeloid Leukemia (CML)</w:t>
      </w:r>
      <w:r w:rsidRPr="00B25C34">
        <w:rPr>
          <w:rFonts w:ascii="Times New Roman" w:hAnsi="Times New Roman" w:cs="Times New Roman"/>
          <w:sz w:val="20"/>
        </w:rPr>
        <w:t>. Studies have shown differences in patients carrying e13a2 or e14a2 in molecular response to Tyrosine K</w:t>
      </w:r>
      <w:r>
        <w:rPr>
          <w:rFonts w:ascii="Times New Roman" w:hAnsi="Times New Roman" w:cs="Times New Roman"/>
          <w:sz w:val="20"/>
        </w:rPr>
        <w:t>inase Inhibitor (TKI) treatment</w:t>
      </w:r>
      <w:r w:rsidRPr="00B25C34">
        <w:rPr>
          <w:rFonts w:ascii="Times New Roman" w:hAnsi="Times New Roman" w:cs="Times New Roman"/>
          <w:sz w:val="20"/>
        </w:rPr>
        <w:t>. Therefore, it is necessary to understand if there is %</w:t>
      </w:r>
      <w:r>
        <w:rPr>
          <w:rFonts w:ascii="Times New Roman" w:hAnsi="Times New Roman" w:cs="Times New Roman"/>
          <w:sz w:val="20"/>
        </w:rPr>
        <w:t xml:space="preserve"> </w:t>
      </w:r>
      <w:r w:rsidRPr="00B25C34">
        <w:rPr>
          <w:rFonts w:ascii="Times New Roman" w:hAnsi="Times New Roman" w:cs="Times New Roman"/>
          <w:sz w:val="20"/>
        </w:rPr>
        <w:t>reporting differences between two tr</w:t>
      </w:r>
      <w:r>
        <w:rPr>
          <w:rFonts w:ascii="Times New Roman" w:hAnsi="Times New Roman" w:cs="Times New Roman"/>
          <w:sz w:val="20"/>
        </w:rPr>
        <w:t xml:space="preserve">anscripts calibrated by WHO </w:t>
      </w:r>
      <w:r w:rsidRPr="0096344B">
        <w:rPr>
          <w:rFonts w:ascii="Times New Roman" w:hAnsi="Times New Roman" w:cs="Times New Roman"/>
          <w:i/>
          <w:sz w:val="20"/>
        </w:rPr>
        <w:t>IS</w:t>
      </w:r>
      <w:r>
        <w:rPr>
          <w:rFonts w:ascii="Times New Roman" w:hAnsi="Times New Roman" w:cs="Times New Roman"/>
          <w:sz w:val="20"/>
        </w:rPr>
        <w:t xml:space="preserve"> </w:t>
      </w:r>
      <w:r w:rsidRPr="00B25C34">
        <w:rPr>
          <w:rFonts w:ascii="Times New Roman" w:hAnsi="Times New Roman" w:cs="Times New Roman"/>
          <w:sz w:val="20"/>
        </w:rPr>
        <w:t>and explore the calibration method using breakpoint specific RNA input Copy Number (CN) for accurate TKI treatment monitoring.</w:t>
      </w:r>
    </w:p>
    <w:p w:rsidR="00B25C34" w:rsidRDefault="00B25C34" w:rsidP="00B25C34">
      <w:pPr>
        <w:jc w:val="both"/>
        <w:rPr>
          <w:rFonts w:ascii="Times New Roman" w:hAnsi="Times New Roman" w:cs="Times New Roman"/>
          <w:sz w:val="20"/>
        </w:rPr>
      </w:pPr>
      <w:r w:rsidRPr="00B25C34">
        <w:rPr>
          <w:rFonts w:ascii="Times New Roman" w:hAnsi="Times New Roman" w:cs="Times New Roman"/>
          <w:b/>
          <w:sz w:val="20"/>
        </w:rPr>
        <w:t>Objectives:</w:t>
      </w:r>
      <w:r w:rsidRPr="00B25C34">
        <w:rPr>
          <w:rFonts w:ascii="Times New Roman" w:hAnsi="Times New Roman" w:cs="Times New Roman"/>
          <w:sz w:val="20"/>
        </w:rPr>
        <w:t xml:space="preserve"> To establish a %</w:t>
      </w:r>
      <w:r>
        <w:rPr>
          <w:rFonts w:ascii="Times New Roman" w:hAnsi="Times New Roman" w:cs="Times New Roman"/>
          <w:sz w:val="20"/>
        </w:rPr>
        <w:t xml:space="preserve"> </w:t>
      </w:r>
      <w:r w:rsidRPr="00B25C34">
        <w:rPr>
          <w:rFonts w:ascii="Times New Roman" w:hAnsi="Times New Roman" w:cs="Times New Roman"/>
          <w:sz w:val="20"/>
        </w:rPr>
        <w:t xml:space="preserve">CN e13a2/ABL and e14a2/ABL reporting method with known CN of IVT-RNAs and compare to WHO </w:t>
      </w:r>
      <w:r w:rsidRPr="0096344B">
        <w:rPr>
          <w:rFonts w:ascii="Times New Roman" w:hAnsi="Times New Roman" w:cs="Times New Roman"/>
          <w:i/>
          <w:sz w:val="20"/>
        </w:rPr>
        <w:t>IS</w:t>
      </w:r>
      <w:r w:rsidRPr="00B25C34">
        <w:rPr>
          <w:rFonts w:ascii="Times New Roman" w:hAnsi="Times New Roman" w:cs="Times New Roman"/>
          <w:sz w:val="20"/>
        </w:rPr>
        <w:t xml:space="preserve"> for e13a2/e14a2 breakpoint specific % reporting.</w:t>
      </w:r>
    </w:p>
    <w:p w:rsidR="00B25C34" w:rsidRDefault="00B25C34" w:rsidP="00B25C34">
      <w:pPr>
        <w:jc w:val="both"/>
        <w:rPr>
          <w:rFonts w:ascii="Times New Roman" w:hAnsi="Times New Roman" w:cs="Times New Roman"/>
          <w:sz w:val="20"/>
        </w:rPr>
      </w:pPr>
      <w:r w:rsidRPr="00B25C34">
        <w:rPr>
          <w:rFonts w:ascii="Times New Roman" w:hAnsi="Times New Roman" w:cs="Times New Roman"/>
          <w:b/>
          <w:sz w:val="20"/>
        </w:rPr>
        <w:t>Methods:</w:t>
      </w:r>
      <w:r w:rsidRPr="00B25C34">
        <w:rPr>
          <w:rFonts w:ascii="Times New Roman" w:hAnsi="Times New Roman" w:cs="Times New Roman"/>
          <w:sz w:val="20"/>
        </w:rPr>
        <w:t xml:space="preserve"> Three IVT-RNAs (e13a2-ABL-BCR, e14a2-ABL-BCR and ABL-BCR) were used to generate standard curves for %</w:t>
      </w:r>
      <w:r>
        <w:rPr>
          <w:rFonts w:ascii="Times New Roman" w:hAnsi="Times New Roman" w:cs="Times New Roman"/>
          <w:sz w:val="20"/>
        </w:rPr>
        <w:t xml:space="preserve"> </w:t>
      </w:r>
      <w:r w:rsidRPr="00B25C34">
        <w:rPr>
          <w:rFonts w:ascii="Times New Roman" w:hAnsi="Times New Roman" w:cs="Times New Roman"/>
          <w:sz w:val="20"/>
        </w:rPr>
        <w:t>CN reporting (Figure</w:t>
      </w:r>
      <w:r>
        <w:rPr>
          <w:rFonts w:ascii="Times New Roman" w:hAnsi="Times New Roman" w:cs="Times New Roman"/>
          <w:sz w:val="20"/>
        </w:rPr>
        <w:t xml:space="preserve"> </w:t>
      </w:r>
      <w:r w:rsidRPr="00B25C34">
        <w:rPr>
          <w:rFonts w:ascii="Times New Roman" w:hAnsi="Times New Roman" w:cs="Times New Roman"/>
          <w:sz w:val="20"/>
        </w:rPr>
        <w:t>1). Four levels of IVT-RNA panels with same CN of e13a2 and e14a2 were tested for breakpoint specific % reporting comparison. K562</w:t>
      </w:r>
      <w:r>
        <w:rPr>
          <w:rFonts w:ascii="Times New Roman" w:hAnsi="Times New Roman" w:cs="Times New Roman"/>
          <w:sz w:val="20"/>
        </w:rPr>
        <w:t xml:space="preserve"> </w:t>
      </w:r>
      <w:r w:rsidRPr="00B25C34">
        <w:rPr>
          <w:rFonts w:ascii="Times New Roman" w:hAnsi="Times New Roman" w:cs="Times New Roman"/>
          <w:sz w:val="20"/>
        </w:rPr>
        <w:t>(e14a2), BV173 (e13a2) cell lysates and CML clinical samples carrying e13a2 or e14a2 transcripts were tested to evaluate the %</w:t>
      </w:r>
      <w:r>
        <w:rPr>
          <w:rFonts w:ascii="Times New Roman" w:hAnsi="Times New Roman" w:cs="Times New Roman"/>
          <w:sz w:val="20"/>
        </w:rPr>
        <w:t xml:space="preserve"> </w:t>
      </w:r>
      <w:r w:rsidRPr="00B25C34">
        <w:rPr>
          <w:rFonts w:ascii="Times New Roman" w:hAnsi="Times New Roman" w:cs="Times New Roman"/>
          <w:sz w:val="20"/>
        </w:rPr>
        <w:t xml:space="preserve">CN reporting compared to WHO </w:t>
      </w:r>
      <w:r w:rsidRPr="0096344B">
        <w:rPr>
          <w:rFonts w:ascii="Times New Roman" w:hAnsi="Times New Roman" w:cs="Times New Roman"/>
          <w:i/>
          <w:sz w:val="20"/>
        </w:rPr>
        <w:t>IS</w:t>
      </w:r>
      <w:r w:rsidRPr="00B25C34">
        <w:rPr>
          <w:rFonts w:ascii="Times New Roman" w:hAnsi="Times New Roman" w:cs="Times New Roman"/>
          <w:sz w:val="20"/>
        </w:rPr>
        <w:t>.</w:t>
      </w:r>
    </w:p>
    <w:p w:rsidR="00B25C34" w:rsidRDefault="00B25C34" w:rsidP="00B25C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30469C8">
            <wp:extent cx="3286125" cy="1000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6125" cy="1000125"/>
                    </a:xfrm>
                    <a:prstGeom prst="rect">
                      <a:avLst/>
                    </a:prstGeom>
                    <a:noFill/>
                  </pic:spPr>
                </pic:pic>
              </a:graphicData>
            </a:graphic>
          </wp:inline>
        </w:drawing>
      </w:r>
    </w:p>
    <w:p w:rsidR="00B25C34" w:rsidRPr="00B25C34" w:rsidRDefault="00B25C34" w:rsidP="00B25C34">
      <w:pPr>
        <w:jc w:val="center"/>
        <w:rPr>
          <w:rFonts w:ascii="Times New Roman" w:hAnsi="Times New Roman" w:cs="Times New Roman"/>
          <w:i/>
          <w:sz w:val="18"/>
        </w:rPr>
      </w:pPr>
      <w:proofErr w:type="gramStart"/>
      <w:r w:rsidRPr="00B25C34">
        <w:rPr>
          <w:rFonts w:ascii="Times New Roman" w:hAnsi="Times New Roman" w:cs="Times New Roman"/>
          <w:b/>
          <w:i/>
          <w:sz w:val="18"/>
        </w:rPr>
        <w:t>Figure 1.</w:t>
      </w:r>
      <w:proofErr w:type="gramEnd"/>
      <w:r w:rsidRPr="00B25C34">
        <w:rPr>
          <w:rFonts w:ascii="Times New Roman" w:hAnsi="Times New Roman" w:cs="Times New Roman"/>
          <w:i/>
          <w:sz w:val="18"/>
        </w:rPr>
        <w:t xml:space="preserve"> </w:t>
      </w:r>
      <w:proofErr w:type="gramStart"/>
      <w:r w:rsidRPr="00B25C34">
        <w:rPr>
          <w:rFonts w:ascii="Times New Roman" w:hAnsi="Times New Roman" w:cs="Times New Roman"/>
          <w:i/>
          <w:sz w:val="18"/>
        </w:rPr>
        <w:t>Schematic of e13a2-ABL-BCR, 1402-ABL-BCR and ABL-BCR IVT-RNA with positions of primers.</w:t>
      </w:r>
      <w:proofErr w:type="gramEnd"/>
    </w:p>
    <w:p w:rsidR="00B25C34" w:rsidRDefault="00B25C34" w:rsidP="00B25C34">
      <w:pPr>
        <w:jc w:val="both"/>
        <w:rPr>
          <w:rFonts w:ascii="Times New Roman" w:hAnsi="Times New Roman" w:cs="Times New Roman"/>
          <w:sz w:val="20"/>
        </w:rPr>
      </w:pPr>
      <w:r w:rsidRPr="00B25C34">
        <w:rPr>
          <w:rFonts w:ascii="Times New Roman" w:hAnsi="Times New Roman" w:cs="Times New Roman"/>
          <w:b/>
          <w:sz w:val="20"/>
        </w:rPr>
        <w:t>Result:</w:t>
      </w:r>
      <w:r w:rsidRPr="00B25C34">
        <w:rPr>
          <w:rFonts w:ascii="Times New Roman" w:hAnsi="Times New Roman" w:cs="Times New Roman"/>
          <w:sz w:val="20"/>
        </w:rPr>
        <w:t xml:space="preserve"> Good linearity demonstrated in Ct </w:t>
      </w:r>
      <w:r w:rsidRPr="00B25C34">
        <w:rPr>
          <w:rFonts w:ascii="Times New Roman" w:hAnsi="Times New Roman" w:cs="Times New Roman"/>
          <w:i/>
          <w:sz w:val="20"/>
        </w:rPr>
        <w:t>vs.</w:t>
      </w:r>
      <w:r w:rsidRPr="00B25C34">
        <w:rPr>
          <w:rFonts w:ascii="Times New Roman" w:hAnsi="Times New Roman" w:cs="Times New Roman"/>
          <w:sz w:val="20"/>
        </w:rPr>
        <w:t xml:space="preserve"> CN input for e13a2, e14a2 and ABL IVT-RNA (Figure</w:t>
      </w:r>
      <w:r>
        <w:rPr>
          <w:rFonts w:ascii="Times New Roman" w:hAnsi="Times New Roman" w:cs="Times New Roman"/>
          <w:sz w:val="20"/>
        </w:rPr>
        <w:t xml:space="preserve"> </w:t>
      </w:r>
      <w:r w:rsidRPr="00B25C34">
        <w:rPr>
          <w:rFonts w:ascii="Times New Roman" w:hAnsi="Times New Roman" w:cs="Times New Roman"/>
          <w:sz w:val="20"/>
        </w:rPr>
        <w:t>2) with comparable Efficiency (E) between e13a2 (E=0.992) and e14a2 (E=0.986).</w:t>
      </w:r>
      <w:r w:rsidR="00DA1819">
        <w:rPr>
          <w:rFonts w:ascii="Times New Roman" w:hAnsi="Times New Roman" w:cs="Times New Roman"/>
          <w:sz w:val="20"/>
        </w:rPr>
        <w:t xml:space="preserve"> </w:t>
      </w:r>
      <w:r w:rsidRPr="00B25C34">
        <w:rPr>
          <w:rFonts w:ascii="Times New Roman" w:hAnsi="Times New Roman" w:cs="Times New Roman"/>
          <w:sz w:val="20"/>
        </w:rPr>
        <w:t>%</w:t>
      </w:r>
      <w:r>
        <w:rPr>
          <w:rFonts w:ascii="Times New Roman" w:hAnsi="Times New Roman" w:cs="Times New Roman"/>
          <w:sz w:val="20"/>
        </w:rPr>
        <w:t xml:space="preserve"> </w:t>
      </w:r>
      <w:r w:rsidRPr="00B25C34">
        <w:rPr>
          <w:rFonts w:ascii="Times New Roman" w:hAnsi="Times New Roman" w:cs="Times New Roman"/>
          <w:sz w:val="20"/>
        </w:rPr>
        <w:t xml:space="preserve">e13a2 reporting was ~1.50-fold (by WHO </w:t>
      </w:r>
      <w:r w:rsidRPr="0096344B">
        <w:rPr>
          <w:rFonts w:ascii="Times New Roman" w:hAnsi="Times New Roman" w:cs="Times New Roman"/>
          <w:i/>
          <w:sz w:val="20"/>
        </w:rPr>
        <w:t>IS</w:t>
      </w:r>
      <w:r w:rsidRPr="00B25C34">
        <w:rPr>
          <w:rFonts w:ascii="Times New Roman" w:hAnsi="Times New Roman" w:cs="Times New Roman"/>
          <w:sz w:val="20"/>
        </w:rPr>
        <w:t>) and ~1.46-fold (by %</w:t>
      </w:r>
      <w:r>
        <w:rPr>
          <w:rFonts w:ascii="Times New Roman" w:hAnsi="Times New Roman" w:cs="Times New Roman"/>
          <w:sz w:val="20"/>
        </w:rPr>
        <w:t xml:space="preserve"> </w:t>
      </w:r>
      <w:r w:rsidRPr="00B25C34">
        <w:rPr>
          <w:rFonts w:ascii="Times New Roman" w:hAnsi="Times New Roman" w:cs="Times New Roman"/>
          <w:sz w:val="20"/>
        </w:rPr>
        <w:t>CN) higher than %</w:t>
      </w:r>
      <w:r>
        <w:rPr>
          <w:rFonts w:ascii="Times New Roman" w:hAnsi="Times New Roman" w:cs="Times New Roman"/>
          <w:sz w:val="20"/>
        </w:rPr>
        <w:t xml:space="preserve"> </w:t>
      </w:r>
      <w:r w:rsidRPr="00B25C34">
        <w:rPr>
          <w:rFonts w:ascii="Times New Roman" w:hAnsi="Times New Roman" w:cs="Times New Roman"/>
          <w:sz w:val="20"/>
        </w:rPr>
        <w:t>e14a2, by testing IVT-RNA panel (Table</w:t>
      </w:r>
      <w:r>
        <w:rPr>
          <w:rFonts w:ascii="Times New Roman" w:hAnsi="Times New Roman" w:cs="Times New Roman"/>
          <w:sz w:val="20"/>
        </w:rPr>
        <w:t xml:space="preserve"> </w:t>
      </w:r>
      <w:r w:rsidRPr="00B25C34">
        <w:rPr>
          <w:rFonts w:ascii="Times New Roman" w:hAnsi="Times New Roman" w:cs="Times New Roman"/>
          <w:sz w:val="20"/>
        </w:rPr>
        <w:t>1). Minor differences in %</w:t>
      </w:r>
      <w:r>
        <w:rPr>
          <w:rFonts w:ascii="Times New Roman" w:hAnsi="Times New Roman" w:cs="Times New Roman"/>
          <w:sz w:val="20"/>
        </w:rPr>
        <w:t xml:space="preserve"> </w:t>
      </w:r>
      <w:r w:rsidRPr="00B25C34">
        <w:rPr>
          <w:rFonts w:ascii="Times New Roman" w:hAnsi="Times New Roman" w:cs="Times New Roman"/>
          <w:sz w:val="20"/>
        </w:rPr>
        <w:t xml:space="preserve">reporting observed between % CN and WHO </w:t>
      </w:r>
      <w:r w:rsidRPr="0096344B">
        <w:rPr>
          <w:rFonts w:ascii="Times New Roman" w:hAnsi="Times New Roman" w:cs="Times New Roman"/>
          <w:i/>
          <w:sz w:val="20"/>
        </w:rPr>
        <w:t>IS</w:t>
      </w:r>
      <w:r w:rsidRPr="00B25C34">
        <w:rPr>
          <w:rFonts w:ascii="Times New Roman" w:hAnsi="Times New Roman" w:cs="Times New Roman"/>
          <w:sz w:val="20"/>
        </w:rPr>
        <w:t xml:space="preserve"> for e13a2 (84.5%~110.8%) </w:t>
      </w:r>
      <w:r w:rsidRPr="00B25C34">
        <w:rPr>
          <w:rFonts w:ascii="Times New Roman" w:hAnsi="Times New Roman" w:cs="Times New Roman"/>
          <w:i/>
          <w:sz w:val="20"/>
        </w:rPr>
        <w:t>vs.</w:t>
      </w:r>
      <w:r w:rsidRPr="00B25C34">
        <w:rPr>
          <w:rFonts w:ascii="Times New Roman" w:hAnsi="Times New Roman" w:cs="Times New Roman"/>
          <w:sz w:val="20"/>
        </w:rPr>
        <w:t xml:space="preserve"> e14a2 (82.5%~89.5%) from cell lysates (Table</w:t>
      </w:r>
      <w:r>
        <w:rPr>
          <w:rFonts w:ascii="Times New Roman" w:hAnsi="Times New Roman" w:cs="Times New Roman"/>
          <w:sz w:val="20"/>
        </w:rPr>
        <w:t xml:space="preserve"> </w:t>
      </w:r>
      <w:r w:rsidRPr="00B25C34">
        <w:rPr>
          <w:rFonts w:ascii="Times New Roman" w:hAnsi="Times New Roman" w:cs="Times New Roman"/>
          <w:sz w:val="20"/>
        </w:rPr>
        <w:t xml:space="preserve">2) and e13a2 (92.6%~105.5%) </w:t>
      </w:r>
      <w:r w:rsidRPr="00B25C34">
        <w:rPr>
          <w:rFonts w:ascii="Times New Roman" w:hAnsi="Times New Roman" w:cs="Times New Roman"/>
          <w:i/>
          <w:sz w:val="20"/>
        </w:rPr>
        <w:t>vs.</w:t>
      </w:r>
      <w:r w:rsidRPr="00B25C34">
        <w:rPr>
          <w:rFonts w:ascii="Times New Roman" w:hAnsi="Times New Roman" w:cs="Times New Roman"/>
          <w:sz w:val="20"/>
        </w:rPr>
        <w:t xml:space="preserve"> e14a2 (88.1%~92.2%) from clinical samples (Table</w:t>
      </w:r>
      <w:r>
        <w:rPr>
          <w:rFonts w:ascii="Times New Roman" w:hAnsi="Times New Roman" w:cs="Times New Roman"/>
          <w:sz w:val="20"/>
        </w:rPr>
        <w:t xml:space="preserve"> </w:t>
      </w:r>
      <w:r w:rsidRPr="00B25C34">
        <w:rPr>
          <w:rFonts w:ascii="Times New Roman" w:hAnsi="Times New Roman" w:cs="Times New Roman"/>
          <w:sz w:val="20"/>
        </w:rPr>
        <w:t>3).</w:t>
      </w:r>
    </w:p>
    <w:p w:rsidR="00B25C34" w:rsidRDefault="00B25C34" w:rsidP="00B25C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8677F50">
            <wp:extent cx="3267710" cy="98171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710" cy="981710"/>
                    </a:xfrm>
                    <a:prstGeom prst="rect">
                      <a:avLst/>
                    </a:prstGeom>
                    <a:noFill/>
                  </pic:spPr>
                </pic:pic>
              </a:graphicData>
            </a:graphic>
          </wp:inline>
        </w:drawing>
      </w:r>
    </w:p>
    <w:p w:rsidR="00B25C34" w:rsidRDefault="00B25C34" w:rsidP="00B25C34">
      <w:pPr>
        <w:jc w:val="center"/>
        <w:rPr>
          <w:rFonts w:ascii="Times New Roman" w:hAnsi="Times New Roman" w:cs="Times New Roman"/>
          <w:i/>
          <w:sz w:val="18"/>
        </w:rPr>
      </w:pPr>
      <w:proofErr w:type="gramStart"/>
      <w:r w:rsidRPr="00DA1819">
        <w:rPr>
          <w:rFonts w:ascii="Times New Roman" w:hAnsi="Times New Roman" w:cs="Times New Roman"/>
          <w:b/>
          <w:i/>
          <w:sz w:val="18"/>
        </w:rPr>
        <w:t>Figure 2.</w:t>
      </w:r>
      <w:proofErr w:type="gramEnd"/>
      <w:r w:rsidRPr="00DA1819">
        <w:rPr>
          <w:rFonts w:ascii="Times New Roman" w:hAnsi="Times New Roman" w:cs="Times New Roman"/>
          <w:i/>
          <w:sz w:val="18"/>
        </w:rPr>
        <w:t xml:space="preserve"> </w:t>
      </w:r>
      <w:proofErr w:type="gramStart"/>
      <w:r w:rsidRPr="00DA1819">
        <w:rPr>
          <w:rFonts w:ascii="Times New Roman" w:hAnsi="Times New Roman" w:cs="Times New Roman"/>
          <w:i/>
          <w:sz w:val="18"/>
        </w:rPr>
        <w:t xml:space="preserve">102 and 1402 IVT RNA standard curve (CCN), 132 and 1402 VT RNA </w:t>
      </w:r>
      <w:proofErr w:type="spellStart"/>
      <w:r w:rsidRPr="00DA1819">
        <w:rPr>
          <w:rFonts w:ascii="Times New Roman" w:hAnsi="Times New Roman" w:cs="Times New Roman"/>
          <w:i/>
          <w:sz w:val="18"/>
        </w:rPr>
        <w:t>ondare</w:t>
      </w:r>
      <w:proofErr w:type="spellEnd"/>
      <w:r w:rsidRPr="00DA1819">
        <w:rPr>
          <w:rFonts w:ascii="Times New Roman" w:hAnsi="Times New Roman" w:cs="Times New Roman"/>
          <w:i/>
          <w:sz w:val="18"/>
        </w:rPr>
        <w:t xml:space="preserve"> (CN)</w:t>
      </w:r>
      <w:r w:rsidR="00DA1819" w:rsidRPr="00DA1819">
        <w:rPr>
          <w:rFonts w:ascii="Times New Roman" w:hAnsi="Times New Roman" w:cs="Times New Roman"/>
          <w:i/>
          <w:sz w:val="18"/>
        </w:rPr>
        <w:t>.</w:t>
      </w:r>
      <w:proofErr w:type="gramEnd"/>
    </w:p>
    <w:p w:rsidR="00DA1819" w:rsidRDefault="00DA1819" w:rsidP="00B25C34">
      <w:pPr>
        <w:jc w:val="center"/>
        <w:rPr>
          <w:rFonts w:ascii="Times New Roman" w:hAnsi="Times New Roman" w:cs="Times New Roman"/>
          <w:i/>
          <w:sz w:val="18"/>
        </w:rPr>
      </w:pPr>
      <w:proofErr w:type="gramStart"/>
      <w:r w:rsidRPr="00DA1819">
        <w:rPr>
          <w:rFonts w:ascii="Times New Roman" w:hAnsi="Times New Roman" w:cs="Times New Roman"/>
          <w:b/>
          <w:i/>
          <w:sz w:val="18"/>
        </w:rPr>
        <w:lastRenderedPageBreak/>
        <w:t>Table 1.</w:t>
      </w:r>
      <w:proofErr w:type="gramEnd"/>
      <w:r>
        <w:rPr>
          <w:rFonts w:ascii="Times New Roman" w:hAnsi="Times New Roman" w:cs="Times New Roman"/>
          <w:i/>
          <w:sz w:val="18"/>
        </w:rPr>
        <w:t xml:space="preserve"> </w:t>
      </w:r>
      <w:proofErr w:type="gramStart"/>
      <w:r>
        <w:rPr>
          <w:rFonts w:ascii="Times New Roman" w:hAnsi="Times New Roman" w:cs="Times New Roman"/>
          <w:i/>
          <w:sz w:val="18"/>
        </w:rPr>
        <w:t>e13a2</w:t>
      </w:r>
      <w:proofErr w:type="gramEnd"/>
      <w:r>
        <w:rPr>
          <w:rFonts w:ascii="Times New Roman" w:hAnsi="Times New Roman" w:cs="Times New Roman"/>
          <w:i/>
          <w:sz w:val="18"/>
        </w:rPr>
        <w:t xml:space="preserve"> and e14a2 IVT RNA panel test.</w:t>
      </w:r>
    </w:p>
    <w:p w:rsidR="00DA1819" w:rsidRDefault="00DA1819" w:rsidP="00B25C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A5DEC58">
            <wp:extent cx="2712720" cy="1005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12720" cy="1005840"/>
                    </a:xfrm>
                    <a:prstGeom prst="rect">
                      <a:avLst/>
                    </a:prstGeom>
                    <a:noFill/>
                  </pic:spPr>
                </pic:pic>
              </a:graphicData>
            </a:graphic>
          </wp:inline>
        </w:drawing>
      </w:r>
    </w:p>
    <w:p w:rsidR="00DA1819" w:rsidRPr="00DA1819" w:rsidRDefault="00DA1819" w:rsidP="00B25C34">
      <w:pPr>
        <w:jc w:val="center"/>
        <w:rPr>
          <w:rFonts w:ascii="Times New Roman" w:hAnsi="Times New Roman" w:cs="Times New Roman"/>
          <w:i/>
          <w:sz w:val="18"/>
        </w:rPr>
      </w:pPr>
      <w:proofErr w:type="gramStart"/>
      <w:r w:rsidRPr="00DA1819">
        <w:rPr>
          <w:rFonts w:ascii="Times New Roman" w:hAnsi="Times New Roman" w:cs="Times New Roman"/>
          <w:b/>
          <w:i/>
          <w:sz w:val="18"/>
        </w:rPr>
        <w:t>Table 2.</w:t>
      </w:r>
      <w:proofErr w:type="gramEnd"/>
      <w:r w:rsidRPr="00DA1819">
        <w:rPr>
          <w:rFonts w:ascii="Times New Roman" w:hAnsi="Times New Roman" w:cs="Times New Roman"/>
          <w:i/>
          <w:sz w:val="18"/>
        </w:rPr>
        <w:t xml:space="preserve"> % CN and % </w:t>
      </w:r>
      <w:proofErr w:type="gramStart"/>
      <w:r w:rsidRPr="00DA1819">
        <w:rPr>
          <w:rFonts w:ascii="Times New Roman" w:hAnsi="Times New Roman" w:cs="Times New Roman"/>
          <w:i/>
          <w:sz w:val="18"/>
        </w:rPr>
        <w:t>WHO</w:t>
      </w:r>
      <w:proofErr w:type="gramEnd"/>
      <w:r w:rsidRPr="00DA1819">
        <w:rPr>
          <w:rFonts w:ascii="Times New Roman" w:hAnsi="Times New Roman" w:cs="Times New Roman"/>
          <w:i/>
          <w:sz w:val="18"/>
        </w:rPr>
        <w:t xml:space="preserve"> </w:t>
      </w:r>
      <w:r w:rsidRPr="0096344B">
        <w:rPr>
          <w:rFonts w:ascii="Times New Roman" w:hAnsi="Times New Roman" w:cs="Times New Roman"/>
          <w:i/>
          <w:sz w:val="18"/>
        </w:rPr>
        <w:t>IS</w:t>
      </w:r>
      <w:r w:rsidRPr="00DA1819">
        <w:rPr>
          <w:rFonts w:ascii="Times New Roman" w:hAnsi="Times New Roman" w:cs="Times New Roman"/>
          <w:i/>
          <w:sz w:val="18"/>
        </w:rPr>
        <w:t xml:space="preserve"> from unknown % e13a2 and % e14a2 cell lysates.</w:t>
      </w:r>
    </w:p>
    <w:p w:rsidR="00DA1819" w:rsidRDefault="00DA1819" w:rsidP="00B25C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B79A6AC">
            <wp:extent cx="2707005" cy="1170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05" cy="1170305"/>
                    </a:xfrm>
                    <a:prstGeom prst="rect">
                      <a:avLst/>
                    </a:prstGeom>
                    <a:noFill/>
                  </pic:spPr>
                </pic:pic>
              </a:graphicData>
            </a:graphic>
          </wp:inline>
        </w:drawing>
      </w:r>
    </w:p>
    <w:p w:rsidR="00DA1819" w:rsidRPr="00DA1819" w:rsidRDefault="00DA1819" w:rsidP="00B25C34">
      <w:pPr>
        <w:jc w:val="center"/>
        <w:rPr>
          <w:rFonts w:ascii="Times New Roman" w:hAnsi="Times New Roman" w:cs="Times New Roman"/>
          <w:i/>
          <w:sz w:val="18"/>
        </w:rPr>
      </w:pPr>
      <w:proofErr w:type="gramStart"/>
      <w:r w:rsidRPr="00DA1819">
        <w:rPr>
          <w:rFonts w:ascii="Times New Roman" w:hAnsi="Times New Roman" w:cs="Times New Roman"/>
          <w:b/>
          <w:i/>
          <w:sz w:val="18"/>
        </w:rPr>
        <w:t>Table 3.</w:t>
      </w:r>
      <w:proofErr w:type="gramEnd"/>
      <w:r w:rsidRPr="00DA1819">
        <w:rPr>
          <w:rFonts w:ascii="Times New Roman" w:hAnsi="Times New Roman" w:cs="Times New Roman"/>
          <w:i/>
          <w:sz w:val="18"/>
        </w:rPr>
        <w:t xml:space="preserve"> </w:t>
      </w:r>
      <w:proofErr w:type="gramStart"/>
      <w:r w:rsidRPr="00DA1819">
        <w:rPr>
          <w:rFonts w:ascii="Times New Roman" w:hAnsi="Times New Roman" w:cs="Times New Roman"/>
          <w:i/>
          <w:sz w:val="18"/>
        </w:rPr>
        <w:t>% WHO IS and % CN from e13a2 and e14a2 CML clinical samples.</w:t>
      </w:r>
      <w:proofErr w:type="gramEnd"/>
    </w:p>
    <w:p w:rsidR="00DA1819" w:rsidRPr="00DA1819" w:rsidRDefault="00DA1819" w:rsidP="00B25C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0364A90">
            <wp:extent cx="2682240" cy="160337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2240" cy="1603375"/>
                    </a:xfrm>
                    <a:prstGeom prst="rect">
                      <a:avLst/>
                    </a:prstGeom>
                    <a:noFill/>
                  </pic:spPr>
                </pic:pic>
              </a:graphicData>
            </a:graphic>
          </wp:inline>
        </w:drawing>
      </w:r>
    </w:p>
    <w:p w:rsidR="00B25C34" w:rsidRDefault="00B25C34" w:rsidP="00B25C34">
      <w:pPr>
        <w:jc w:val="both"/>
        <w:rPr>
          <w:rFonts w:ascii="Times New Roman" w:hAnsi="Times New Roman" w:cs="Times New Roman"/>
          <w:sz w:val="20"/>
        </w:rPr>
      </w:pPr>
      <w:r w:rsidRPr="00B25C34">
        <w:rPr>
          <w:rFonts w:ascii="Times New Roman" w:hAnsi="Times New Roman" w:cs="Times New Roman"/>
          <w:b/>
          <w:sz w:val="20"/>
        </w:rPr>
        <w:t>Conclusion:</w:t>
      </w:r>
      <w:r w:rsidRPr="00B25C34">
        <w:rPr>
          <w:rFonts w:ascii="Times New Roman" w:hAnsi="Times New Roman" w:cs="Times New Roman"/>
          <w:sz w:val="20"/>
        </w:rPr>
        <w:t xml:space="preserve"> Both WHO </w:t>
      </w:r>
      <w:r w:rsidRPr="0096344B">
        <w:rPr>
          <w:rFonts w:ascii="Times New Roman" w:hAnsi="Times New Roman" w:cs="Times New Roman"/>
          <w:i/>
          <w:sz w:val="20"/>
        </w:rPr>
        <w:t>IS</w:t>
      </w:r>
      <w:r w:rsidRPr="00B25C34">
        <w:rPr>
          <w:rFonts w:ascii="Times New Roman" w:hAnsi="Times New Roman" w:cs="Times New Roman"/>
          <w:sz w:val="20"/>
        </w:rPr>
        <w:t xml:space="preserve"> and %</w:t>
      </w:r>
      <w:r>
        <w:rPr>
          <w:rFonts w:ascii="Times New Roman" w:hAnsi="Times New Roman" w:cs="Times New Roman"/>
          <w:sz w:val="20"/>
        </w:rPr>
        <w:t xml:space="preserve"> </w:t>
      </w:r>
      <w:r w:rsidRPr="00B25C34">
        <w:rPr>
          <w:rFonts w:ascii="Times New Roman" w:hAnsi="Times New Roman" w:cs="Times New Roman"/>
          <w:sz w:val="20"/>
        </w:rPr>
        <w:t>CN showed very minor differences between e13a2 and e14a2 for % reporting. %</w:t>
      </w:r>
      <w:r>
        <w:rPr>
          <w:rFonts w:ascii="Times New Roman" w:hAnsi="Times New Roman" w:cs="Times New Roman"/>
          <w:sz w:val="20"/>
        </w:rPr>
        <w:t xml:space="preserve"> </w:t>
      </w:r>
      <w:r w:rsidRPr="00B25C34">
        <w:rPr>
          <w:rFonts w:ascii="Times New Roman" w:hAnsi="Times New Roman" w:cs="Times New Roman"/>
          <w:sz w:val="20"/>
        </w:rPr>
        <w:t>CN method demonstrated comparable %</w:t>
      </w:r>
      <w:r>
        <w:rPr>
          <w:rFonts w:ascii="Times New Roman" w:hAnsi="Times New Roman" w:cs="Times New Roman"/>
          <w:sz w:val="20"/>
        </w:rPr>
        <w:t xml:space="preserve"> </w:t>
      </w:r>
      <w:r w:rsidRPr="00B25C34">
        <w:rPr>
          <w:rFonts w:ascii="Times New Roman" w:hAnsi="Times New Roman" w:cs="Times New Roman"/>
          <w:sz w:val="20"/>
        </w:rPr>
        <w:t xml:space="preserve">reporting to WHO </w:t>
      </w:r>
      <w:bookmarkStart w:id="0" w:name="_GoBack"/>
      <w:r w:rsidRPr="0096344B">
        <w:rPr>
          <w:rFonts w:ascii="Times New Roman" w:hAnsi="Times New Roman" w:cs="Times New Roman"/>
          <w:i/>
          <w:sz w:val="20"/>
        </w:rPr>
        <w:t>IS</w:t>
      </w:r>
      <w:bookmarkEnd w:id="0"/>
      <w:r w:rsidRPr="00B25C34">
        <w:rPr>
          <w:rFonts w:ascii="Times New Roman" w:hAnsi="Times New Roman" w:cs="Times New Roman"/>
          <w:sz w:val="20"/>
        </w:rPr>
        <w:t>.</w:t>
      </w:r>
    </w:p>
    <w:p w:rsidR="00B25C34" w:rsidRPr="00DA1819" w:rsidRDefault="00DA1819" w:rsidP="00DA1819">
      <w:pPr>
        <w:rPr>
          <w:rFonts w:ascii="Times New Roman" w:hAnsi="Times New Roman" w:cs="Times New Roman"/>
          <w:b/>
          <w:sz w:val="24"/>
        </w:rPr>
      </w:pPr>
      <w:r w:rsidRPr="00DA1819">
        <w:rPr>
          <w:rFonts w:ascii="Times New Roman" w:hAnsi="Times New Roman" w:cs="Times New Roman"/>
          <w:b/>
          <w:sz w:val="24"/>
        </w:rPr>
        <w:t>Biography</w:t>
      </w:r>
    </w:p>
    <w:p w:rsidR="00DA1819" w:rsidRPr="00B25C34" w:rsidRDefault="00DA1819" w:rsidP="00B25C34">
      <w:pPr>
        <w:jc w:val="both"/>
        <w:rPr>
          <w:rFonts w:ascii="Times New Roman" w:hAnsi="Times New Roman" w:cs="Times New Roman"/>
          <w:sz w:val="20"/>
        </w:rPr>
      </w:pPr>
      <w:proofErr w:type="spellStart"/>
      <w:r w:rsidRPr="00DA1819">
        <w:rPr>
          <w:rFonts w:ascii="Times New Roman" w:hAnsi="Times New Roman" w:cs="Times New Roman"/>
          <w:sz w:val="20"/>
        </w:rPr>
        <w:t>Huilin</w:t>
      </w:r>
      <w:proofErr w:type="spellEnd"/>
      <w:r w:rsidRPr="00DA1819">
        <w:rPr>
          <w:rFonts w:ascii="Times New Roman" w:hAnsi="Times New Roman" w:cs="Times New Roman"/>
          <w:sz w:val="20"/>
        </w:rPr>
        <w:t xml:space="preserve"> Wei has more than 15 years of extensive experience in molecular and protein assay development. She has her expertise in molecular biology, immunology and oncology. Current research focuses on assay control and detection platforms to provide accurate and high quality IVT products for cancer diagnostic and monitoring.</w:t>
      </w:r>
    </w:p>
    <w:sectPr w:rsidR="00DA1819" w:rsidRPr="00B25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C34"/>
    <w:rsid w:val="00474203"/>
    <w:rsid w:val="00535872"/>
    <w:rsid w:val="00924B33"/>
    <w:rsid w:val="0096344B"/>
    <w:rsid w:val="00B25C34"/>
    <w:rsid w:val="00DA1819"/>
    <w:rsid w:val="00E7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5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C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5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C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2023-01-24T08:59:00Z</dcterms:created>
  <dcterms:modified xsi:type="dcterms:W3CDTF">2023-01-24T09:23:00Z</dcterms:modified>
</cp:coreProperties>
</file>