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A27762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A27762">
        <w:rPr>
          <w:rFonts w:ascii="Times New Roman" w:hAnsi="Times New Roman" w:cs="Times New Roman"/>
          <w:b/>
          <w:sz w:val="32"/>
        </w:rPr>
        <w:t xml:space="preserve">An unusual case of chronic </w:t>
      </w:r>
      <w:proofErr w:type="spellStart"/>
      <w:r w:rsidRPr="00A27762">
        <w:rPr>
          <w:rFonts w:ascii="Times New Roman" w:hAnsi="Times New Roman" w:cs="Times New Roman"/>
          <w:b/>
          <w:sz w:val="32"/>
        </w:rPr>
        <w:t>myelogenous</w:t>
      </w:r>
      <w:proofErr w:type="spellEnd"/>
      <w:r w:rsidRPr="00A27762">
        <w:rPr>
          <w:rFonts w:ascii="Times New Roman" w:hAnsi="Times New Roman" w:cs="Times New Roman"/>
          <w:b/>
          <w:sz w:val="32"/>
        </w:rPr>
        <w:t xml:space="preserve"> leukemia and multiple myeloma </w:t>
      </w:r>
      <w:proofErr w:type="gramStart"/>
      <w:r w:rsidRPr="00A27762">
        <w:rPr>
          <w:rFonts w:ascii="Times New Roman" w:hAnsi="Times New Roman" w:cs="Times New Roman"/>
          <w:b/>
          <w:sz w:val="32"/>
        </w:rPr>
        <w:t>co-existence</w:t>
      </w:r>
      <w:proofErr w:type="gramEnd"/>
    </w:p>
    <w:p w:rsidR="00A27762" w:rsidRDefault="00A27762">
      <w:pPr>
        <w:rPr>
          <w:rFonts w:ascii="Times New Roman" w:hAnsi="Times New Roman" w:cs="Times New Roman"/>
          <w:sz w:val="24"/>
        </w:rPr>
      </w:pPr>
      <w:r w:rsidRPr="00A27762">
        <w:rPr>
          <w:rFonts w:ascii="Times New Roman" w:hAnsi="Times New Roman" w:cs="Times New Roman"/>
          <w:sz w:val="24"/>
        </w:rPr>
        <w:t xml:space="preserve">Victor Alfred H. </w:t>
      </w:r>
      <w:proofErr w:type="spellStart"/>
      <w:r w:rsidRPr="00A27762">
        <w:rPr>
          <w:rFonts w:ascii="Times New Roman" w:hAnsi="Times New Roman" w:cs="Times New Roman"/>
          <w:sz w:val="24"/>
        </w:rPr>
        <w:t>Cataming</w:t>
      </w:r>
      <w:proofErr w:type="spellEnd"/>
      <w:r>
        <w:rPr>
          <w:rFonts w:ascii="Times New Roman" w:hAnsi="Times New Roman" w:cs="Times New Roman"/>
          <w:sz w:val="24"/>
        </w:rPr>
        <w:t xml:space="preserve">* and </w:t>
      </w:r>
      <w:proofErr w:type="spellStart"/>
      <w:r w:rsidRPr="00A27762">
        <w:rPr>
          <w:rFonts w:ascii="Times New Roman" w:hAnsi="Times New Roman" w:cs="Times New Roman"/>
          <w:sz w:val="24"/>
        </w:rPr>
        <w:t>Teresita</w:t>
      </w:r>
      <w:proofErr w:type="spellEnd"/>
      <w:r w:rsidRPr="00A27762">
        <w:rPr>
          <w:rFonts w:ascii="Times New Roman" w:hAnsi="Times New Roman" w:cs="Times New Roman"/>
          <w:sz w:val="24"/>
        </w:rPr>
        <w:t xml:space="preserve"> E. </w:t>
      </w:r>
      <w:proofErr w:type="spellStart"/>
      <w:r w:rsidRPr="00A27762">
        <w:rPr>
          <w:rFonts w:ascii="Times New Roman" w:hAnsi="Times New Roman" w:cs="Times New Roman"/>
          <w:sz w:val="24"/>
        </w:rPr>
        <w:t>Dumagay</w:t>
      </w:r>
      <w:proofErr w:type="spellEnd"/>
    </w:p>
    <w:p w:rsidR="00A27762" w:rsidRPr="00A27762" w:rsidRDefault="00A27762">
      <w:pPr>
        <w:rPr>
          <w:rFonts w:ascii="Times New Roman" w:hAnsi="Times New Roman" w:cs="Times New Roman"/>
        </w:rPr>
      </w:pPr>
      <w:r w:rsidRPr="00A27762">
        <w:rPr>
          <w:rFonts w:ascii="Times New Roman" w:hAnsi="Times New Roman" w:cs="Times New Roman"/>
        </w:rPr>
        <w:t>University of the Philippines, Philippines</w:t>
      </w:r>
    </w:p>
    <w:p w:rsidR="00A27762" w:rsidRPr="00A27762" w:rsidRDefault="00A27762" w:rsidP="00A27762">
      <w:pPr>
        <w:jc w:val="center"/>
        <w:rPr>
          <w:rFonts w:ascii="Times New Roman" w:hAnsi="Times New Roman" w:cs="Times New Roman"/>
          <w:b/>
          <w:sz w:val="24"/>
        </w:rPr>
      </w:pPr>
      <w:r w:rsidRPr="00A27762">
        <w:rPr>
          <w:rFonts w:ascii="Times New Roman" w:hAnsi="Times New Roman" w:cs="Times New Roman"/>
          <w:b/>
          <w:sz w:val="24"/>
        </w:rPr>
        <w:t>Abstract</w:t>
      </w:r>
    </w:p>
    <w:p w:rsidR="00A27762" w:rsidRPr="00A27762" w:rsidRDefault="00A27762" w:rsidP="00A27762">
      <w:pPr>
        <w:jc w:val="both"/>
        <w:rPr>
          <w:rFonts w:ascii="Times New Roman" w:hAnsi="Times New Roman" w:cs="Times New Roman"/>
          <w:sz w:val="20"/>
        </w:rPr>
      </w:pPr>
      <w:r w:rsidRPr="00A27762">
        <w:rPr>
          <w:rFonts w:ascii="Times New Roman" w:hAnsi="Times New Roman" w:cs="Times New Roman"/>
          <w:sz w:val="20"/>
        </w:rPr>
        <w:t xml:space="preserve">The co-existence of myeloid and lymphoid malignancies is rare and poorly understood. It is an extremely uncommon disease reported in a very few cases. We report a rare case of multiple myeloma and chronic </w:t>
      </w:r>
      <w:proofErr w:type="spellStart"/>
      <w:r w:rsidRPr="00A27762">
        <w:rPr>
          <w:rFonts w:ascii="Times New Roman" w:hAnsi="Times New Roman" w:cs="Times New Roman"/>
          <w:sz w:val="20"/>
        </w:rPr>
        <w:t>myelogenous</w:t>
      </w:r>
      <w:proofErr w:type="spellEnd"/>
      <w:r w:rsidRPr="00A27762">
        <w:rPr>
          <w:rFonts w:ascii="Times New Roman" w:hAnsi="Times New Roman" w:cs="Times New Roman"/>
          <w:sz w:val="20"/>
        </w:rPr>
        <w:t xml:space="preserve"> leukemia co-existence in a 55-year-old male initially presenting with </w:t>
      </w:r>
      <w:proofErr w:type="spellStart"/>
      <w:r w:rsidRPr="00A27762">
        <w:rPr>
          <w:rFonts w:ascii="Times New Roman" w:hAnsi="Times New Roman" w:cs="Times New Roman"/>
          <w:sz w:val="20"/>
        </w:rPr>
        <w:t>granulocytosis</w:t>
      </w:r>
      <w:proofErr w:type="spellEnd"/>
      <w:r w:rsidRPr="00A27762">
        <w:rPr>
          <w:rFonts w:ascii="Times New Roman" w:hAnsi="Times New Roman" w:cs="Times New Roman"/>
          <w:sz w:val="20"/>
        </w:rPr>
        <w:t xml:space="preserve"> and splenomegaly. Subsequent work-up with BCR/ABL FISH assay and bone marrow aspiration and biopsy revealed chronic </w:t>
      </w:r>
      <w:proofErr w:type="spellStart"/>
      <w:r w:rsidRPr="00A27762">
        <w:rPr>
          <w:rFonts w:ascii="Times New Roman" w:hAnsi="Times New Roman" w:cs="Times New Roman"/>
          <w:sz w:val="20"/>
        </w:rPr>
        <w:t>myelogenous</w:t>
      </w:r>
      <w:proofErr w:type="spellEnd"/>
      <w:r w:rsidRPr="00A27762">
        <w:rPr>
          <w:rFonts w:ascii="Times New Roman" w:hAnsi="Times New Roman" w:cs="Times New Roman"/>
          <w:sz w:val="20"/>
        </w:rPr>
        <w:t xml:space="preserve"> leukemia. During the first 4 months of his treatment with a tyrosine kinase inhibitor, there was a note of progressive and persistent pancytopenia with increasing </w:t>
      </w:r>
      <w:proofErr w:type="spellStart"/>
      <w:r w:rsidRPr="00A27762">
        <w:rPr>
          <w:rFonts w:ascii="Times New Roman" w:hAnsi="Times New Roman" w:cs="Times New Roman"/>
          <w:sz w:val="20"/>
        </w:rPr>
        <w:t>creatinine</w:t>
      </w:r>
      <w:proofErr w:type="spellEnd"/>
      <w:r w:rsidRPr="00A27762">
        <w:rPr>
          <w:rFonts w:ascii="Times New Roman" w:hAnsi="Times New Roman" w:cs="Times New Roman"/>
          <w:sz w:val="20"/>
        </w:rPr>
        <w:t xml:space="preserve"> trends. A repeat bone marrow aspiration and biopsy supplemented with serum protein el</w:t>
      </w:r>
      <w:r w:rsidR="00561F13">
        <w:rPr>
          <w:rFonts w:ascii="Times New Roman" w:hAnsi="Times New Roman" w:cs="Times New Roman"/>
          <w:sz w:val="20"/>
        </w:rPr>
        <w:t xml:space="preserve">ectrophoresis with </w:t>
      </w:r>
      <w:proofErr w:type="spellStart"/>
      <w:r w:rsidR="00561F13">
        <w:rPr>
          <w:rFonts w:ascii="Times New Roman" w:hAnsi="Times New Roman" w:cs="Times New Roman"/>
          <w:sz w:val="20"/>
        </w:rPr>
        <w:t>immunotyping</w:t>
      </w:r>
      <w:proofErr w:type="spellEnd"/>
      <w:r w:rsidRPr="00A27762">
        <w:rPr>
          <w:rFonts w:ascii="Times New Roman" w:hAnsi="Times New Roman" w:cs="Times New Roman"/>
          <w:sz w:val="20"/>
        </w:rPr>
        <w:t xml:space="preserve"> and serum free light chain assay were done demonstrating multiple </w:t>
      </w:r>
      <w:proofErr w:type="gramStart"/>
      <w:r w:rsidRPr="00A27762">
        <w:rPr>
          <w:rFonts w:ascii="Times New Roman" w:hAnsi="Times New Roman" w:cs="Times New Roman"/>
          <w:sz w:val="20"/>
        </w:rPr>
        <w:t>myeloma</w:t>
      </w:r>
      <w:proofErr w:type="gramEnd"/>
      <w:r w:rsidRPr="00A27762">
        <w:rPr>
          <w:rFonts w:ascii="Times New Roman" w:hAnsi="Times New Roman" w:cs="Times New Roman"/>
          <w:sz w:val="20"/>
        </w:rPr>
        <w:t>. A BCR-ABL for QRT PCR was also conducted with a result of 3.81%. Hence, the diagnosis of co-existent multiple myeloma a</w:t>
      </w:r>
      <w:r>
        <w:rPr>
          <w:rFonts w:ascii="Times New Roman" w:hAnsi="Times New Roman" w:cs="Times New Roman"/>
          <w:sz w:val="20"/>
        </w:rPr>
        <w:t xml:space="preserve">nd chronic </w:t>
      </w:r>
      <w:proofErr w:type="spellStart"/>
      <w:r>
        <w:rPr>
          <w:rFonts w:ascii="Times New Roman" w:hAnsi="Times New Roman" w:cs="Times New Roman"/>
          <w:sz w:val="20"/>
        </w:rPr>
        <w:t>myelogenous</w:t>
      </w:r>
      <w:proofErr w:type="spellEnd"/>
      <w:r>
        <w:rPr>
          <w:rFonts w:ascii="Times New Roman" w:hAnsi="Times New Roman" w:cs="Times New Roman"/>
          <w:sz w:val="20"/>
        </w:rPr>
        <w:t xml:space="preserve"> leukemia,</w:t>
      </w:r>
      <w:r w:rsidRPr="00A27762">
        <w:rPr>
          <w:rFonts w:ascii="Times New Roman" w:hAnsi="Times New Roman" w:cs="Times New Roman"/>
          <w:sz w:val="20"/>
        </w:rPr>
        <w:t xml:space="preserve"> Triplet anti-myeloma therapy and tyrosine kinase inhibitor are given to this patient. </w:t>
      </w:r>
    </w:p>
    <w:p w:rsidR="00A27762" w:rsidRDefault="00A27762" w:rsidP="00A27762">
      <w:pPr>
        <w:jc w:val="both"/>
        <w:rPr>
          <w:rFonts w:ascii="Times New Roman" w:hAnsi="Times New Roman" w:cs="Times New Roman"/>
          <w:sz w:val="20"/>
        </w:rPr>
      </w:pPr>
      <w:r w:rsidRPr="00A27762">
        <w:rPr>
          <w:rFonts w:ascii="Times New Roman" w:hAnsi="Times New Roman" w:cs="Times New Roman"/>
          <w:sz w:val="20"/>
        </w:rPr>
        <w:t xml:space="preserve">Multiple myeloma is the neoplastic expansion of plasma cells that produces a monoclonal immunoglobulin. It is a relatively uncommon malignancy. On the other hand, chronic </w:t>
      </w:r>
      <w:proofErr w:type="spellStart"/>
      <w:r w:rsidRPr="00A27762">
        <w:rPr>
          <w:rFonts w:ascii="Times New Roman" w:hAnsi="Times New Roman" w:cs="Times New Roman"/>
          <w:sz w:val="20"/>
        </w:rPr>
        <w:t>myelogenous</w:t>
      </w:r>
      <w:proofErr w:type="spellEnd"/>
      <w:r w:rsidRPr="00A27762">
        <w:rPr>
          <w:rFonts w:ascii="Times New Roman" w:hAnsi="Times New Roman" w:cs="Times New Roman"/>
          <w:sz w:val="20"/>
        </w:rPr>
        <w:t xml:space="preserve"> leukemia is a form of </w:t>
      </w:r>
      <w:proofErr w:type="spellStart"/>
      <w:r w:rsidRPr="00A27762">
        <w:rPr>
          <w:rFonts w:ascii="Times New Roman" w:hAnsi="Times New Roman" w:cs="Times New Roman"/>
          <w:sz w:val="20"/>
        </w:rPr>
        <w:t>myeloproliferative</w:t>
      </w:r>
      <w:proofErr w:type="spellEnd"/>
      <w:r w:rsidRPr="00A27762">
        <w:rPr>
          <w:rFonts w:ascii="Times New Roman" w:hAnsi="Times New Roman" w:cs="Times New Roman"/>
          <w:sz w:val="20"/>
        </w:rPr>
        <w:t xml:space="preserve"> neoplasm that results from abnormal production and proliferation of mature and maturing granulocytes associated with the BCR/ABL fusion gene. The abnormal cells involved in these diseases are distinctly different making its co-occurrence extremely rare. In addition, literature regarding the approach to its diagnosis, treatment and outcome is scarce. Increasing recognition and awareness of the co-existence of the two entities is a step closer to optimizing approach to its diagnosis and treatment</w:t>
      </w:r>
      <w:r w:rsidR="00561F13">
        <w:rPr>
          <w:rFonts w:ascii="Times New Roman" w:hAnsi="Times New Roman" w:cs="Times New Roman"/>
          <w:sz w:val="20"/>
        </w:rPr>
        <w:t xml:space="preserve"> [Figure 1]</w:t>
      </w:r>
      <w:r w:rsidRPr="00A27762">
        <w:rPr>
          <w:rFonts w:ascii="Times New Roman" w:hAnsi="Times New Roman" w:cs="Times New Roman"/>
          <w:sz w:val="20"/>
        </w:rPr>
        <w:t>.</w:t>
      </w:r>
    </w:p>
    <w:p w:rsidR="00A27762" w:rsidRDefault="00A27762" w:rsidP="00A27762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495F4C80">
            <wp:extent cx="2414270" cy="1499870"/>
            <wp:effectExtent l="0" t="0" r="508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270" cy="1499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27762" w:rsidRPr="00A27762" w:rsidRDefault="00A27762" w:rsidP="00A27762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A27762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A27762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A27762">
        <w:rPr>
          <w:rFonts w:ascii="Times New Roman" w:hAnsi="Times New Roman" w:cs="Times New Roman"/>
          <w:i/>
          <w:sz w:val="18"/>
        </w:rPr>
        <w:t xml:space="preserve">Photomicrograph of bone </w:t>
      </w:r>
      <w:proofErr w:type="spellStart"/>
      <w:r w:rsidRPr="00A27762">
        <w:rPr>
          <w:rFonts w:ascii="Times New Roman" w:hAnsi="Times New Roman" w:cs="Times New Roman"/>
          <w:i/>
          <w:sz w:val="18"/>
        </w:rPr>
        <w:t>marroe</w:t>
      </w:r>
      <w:proofErr w:type="spellEnd"/>
      <w:r w:rsidRPr="00A27762">
        <w:rPr>
          <w:rFonts w:ascii="Times New Roman" w:hAnsi="Times New Roman" w:cs="Times New Roman"/>
          <w:i/>
          <w:sz w:val="18"/>
        </w:rPr>
        <w:t xml:space="preserve"> core and aspirate with H&amp;E stain showing </w:t>
      </w:r>
      <w:proofErr w:type="spellStart"/>
      <w:r w:rsidRPr="00A27762">
        <w:rPr>
          <w:rFonts w:ascii="Times New Roman" w:hAnsi="Times New Roman" w:cs="Times New Roman"/>
          <w:i/>
          <w:sz w:val="18"/>
        </w:rPr>
        <w:t>hypercellular</w:t>
      </w:r>
      <w:proofErr w:type="spellEnd"/>
      <w:r w:rsidRPr="00A27762">
        <w:rPr>
          <w:rFonts w:ascii="Times New Roman" w:hAnsi="Times New Roman" w:cs="Times New Roman"/>
          <w:i/>
          <w:sz w:val="18"/>
        </w:rPr>
        <w:t xml:space="preserve"> marrow for age with 90-95% cellularity.</w:t>
      </w:r>
      <w:proofErr w:type="gramEnd"/>
      <w:r w:rsidRPr="00A27762">
        <w:rPr>
          <w:rFonts w:ascii="Times New Roman" w:hAnsi="Times New Roman" w:cs="Times New Roman"/>
          <w:i/>
          <w:sz w:val="18"/>
        </w:rPr>
        <w:t xml:space="preserve"> </w:t>
      </w:r>
      <w:proofErr w:type="spellStart"/>
      <w:r w:rsidRPr="00A27762">
        <w:rPr>
          <w:rFonts w:ascii="Times New Roman" w:hAnsi="Times New Roman" w:cs="Times New Roman"/>
          <w:i/>
          <w:sz w:val="18"/>
        </w:rPr>
        <w:t>Erythrogranulopoeisis</w:t>
      </w:r>
      <w:proofErr w:type="spellEnd"/>
      <w:r w:rsidRPr="00A27762">
        <w:rPr>
          <w:rFonts w:ascii="Times New Roman" w:hAnsi="Times New Roman" w:cs="Times New Roman"/>
          <w:i/>
          <w:sz w:val="18"/>
        </w:rPr>
        <w:t xml:space="preserve"> with maturation and megakaryocytes are present. Infiltrating plasma cells in sheets and aggregates are noted comprising </w:t>
      </w:r>
      <w:proofErr w:type="spellStart"/>
      <w:r w:rsidRPr="00A27762">
        <w:rPr>
          <w:rFonts w:ascii="Times New Roman" w:hAnsi="Times New Roman" w:cs="Times New Roman"/>
          <w:i/>
          <w:sz w:val="18"/>
        </w:rPr>
        <w:t>atleast</w:t>
      </w:r>
      <w:proofErr w:type="spellEnd"/>
      <w:r w:rsidRPr="00A27762">
        <w:rPr>
          <w:rFonts w:ascii="Times New Roman" w:hAnsi="Times New Roman" w:cs="Times New Roman"/>
          <w:i/>
          <w:sz w:val="18"/>
        </w:rPr>
        <w:t xml:space="preserve"> 90% of the marrow cellularity. CD138 is positive with strong and diffuse membranous staining in neoplastic cells.</w:t>
      </w:r>
    </w:p>
    <w:p w:rsidR="00A27762" w:rsidRPr="00A27762" w:rsidRDefault="00A27762" w:rsidP="00A27762">
      <w:pPr>
        <w:rPr>
          <w:rFonts w:ascii="Times New Roman" w:hAnsi="Times New Roman" w:cs="Times New Roman"/>
          <w:b/>
          <w:sz w:val="24"/>
        </w:rPr>
      </w:pPr>
      <w:r w:rsidRPr="00A27762">
        <w:rPr>
          <w:rFonts w:ascii="Times New Roman" w:hAnsi="Times New Roman" w:cs="Times New Roman"/>
          <w:b/>
          <w:sz w:val="24"/>
        </w:rPr>
        <w:t>Biography</w:t>
      </w:r>
    </w:p>
    <w:p w:rsidR="00A27762" w:rsidRPr="00A27762" w:rsidRDefault="00A27762" w:rsidP="00A27762">
      <w:pPr>
        <w:jc w:val="both"/>
        <w:rPr>
          <w:rFonts w:ascii="Times New Roman" w:hAnsi="Times New Roman" w:cs="Times New Roman"/>
          <w:sz w:val="20"/>
        </w:rPr>
      </w:pPr>
      <w:r w:rsidRPr="00A27762">
        <w:rPr>
          <w:rFonts w:ascii="Times New Roman" w:hAnsi="Times New Roman" w:cs="Times New Roman"/>
          <w:sz w:val="20"/>
        </w:rPr>
        <w:t xml:space="preserve">Victor Alfred H. </w:t>
      </w:r>
      <w:proofErr w:type="spellStart"/>
      <w:r w:rsidRPr="00A27762">
        <w:rPr>
          <w:rFonts w:ascii="Times New Roman" w:hAnsi="Times New Roman" w:cs="Times New Roman"/>
          <w:sz w:val="20"/>
        </w:rPr>
        <w:t>Catambing</w:t>
      </w:r>
      <w:proofErr w:type="spellEnd"/>
      <w:r w:rsidRPr="00A27762">
        <w:rPr>
          <w:rFonts w:ascii="Times New Roman" w:hAnsi="Times New Roman" w:cs="Times New Roman"/>
          <w:sz w:val="20"/>
        </w:rPr>
        <w:t xml:space="preserve"> is a board-certified internist and is currently an adult hematology fellow-in-training from the Philippine General Hospital, Philippines. He is an enthusiastic and innovative fellow-in-training whose life-long goal is provide the best possible care to patients with hematologic conditions in distant areas of the Philippines.</w:t>
      </w:r>
      <w:bookmarkEnd w:id="0"/>
    </w:p>
    <w:sectPr w:rsidR="00A27762" w:rsidRPr="00A277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7762"/>
    <w:rsid w:val="00474203"/>
    <w:rsid w:val="00535872"/>
    <w:rsid w:val="00561F13"/>
    <w:rsid w:val="00737960"/>
    <w:rsid w:val="00924B33"/>
    <w:rsid w:val="00A27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7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7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7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7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2022-12-14T05:10:00Z</dcterms:created>
  <dcterms:modified xsi:type="dcterms:W3CDTF">2022-12-14T05:34:00Z</dcterms:modified>
</cp:coreProperties>
</file>