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00BB5" w14:textId="780A5E75" w:rsidR="009108C5" w:rsidRPr="0063197A" w:rsidRDefault="00835402" w:rsidP="0063197A">
      <w:pPr>
        <w:jc w:val="both"/>
        <w:rPr>
          <w:rFonts w:ascii="Times New Roman" w:hAnsi="Times New Roman" w:cs="Times New Roman"/>
          <w:b/>
          <w:bCs/>
          <w:sz w:val="24"/>
          <w:szCs w:val="24"/>
          <w:lang w:val="en-GB"/>
        </w:rPr>
      </w:pPr>
      <w:r w:rsidRPr="0063197A">
        <w:rPr>
          <w:rFonts w:ascii="Times New Roman" w:hAnsi="Times New Roman" w:cs="Times New Roman"/>
          <w:b/>
          <w:bCs/>
          <w:sz w:val="24"/>
          <w:szCs w:val="24"/>
          <w:lang w:val="en-GB"/>
        </w:rPr>
        <w:t xml:space="preserve">                        </w:t>
      </w:r>
      <w:r w:rsidR="009108C5" w:rsidRPr="0063197A">
        <w:rPr>
          <w:rFonts w:ascii="Times New Roman" w:hAnsi="Times New Roman" w:cs="Times New Roman"/>
          <w:b/>
          <w:bCs/>
          <w:color w:val="4472C4" w:themeColor="accent1"/>
          <w:sz w:val="24"/>
          <w:szCs w:val="24"/>
          <w:lang w:val="en-GB"/>
        </w:rPr>
        <w:t xml:space="preserve">Reticulated Platelets: </w:t>
      </w:r>
      <w:r w:rsidR="00E40CEF" w:rsidRPr="0063197A">
        <w:rPr>
          <w:rFonts w:ascii="Times New Roman" w:hAnsi="Times New Roman" w:cs="Times New Roman"/>
          <w:b/>
          <w:bCs/>
          <w:color w:val="4472C4" w:themeColor="accent1"/>
          <w:sz w:val="24"/>
          <w:szCs w:val="24"/>
          <w:lang w:val="en-GB"/>
        </w:rPr>
        <w:t>A</w:t>
      </w:r>
      <w:r w:rsidR="009108C5" w:rsidRPr="0063197A">
        <w:rPr>
          <w:rFonts w:ascii="Times New Roman" w:hAnsi="Times New Roman" w:cs="Times New Roman"/>
          <w:b/>
          <w:bCs/>
          <w:color w:val="4472C4" w:themeColor="accent1"/>
          <w:sz w:val="24"/>
          <w:szCs w:val="24"/>
          <w:lang w:val="en-GB"/>
        </w:rPr>
        <w:t xml:space="preserve"> Key to Platelet Heterogeneity</w:t>
      </w:r>
    </w:p>
    <w:p w14:paraId="7E08CAB1" w14:textId="581D7C94" w:rsidR="009108C5" w:rsidRPr="0063197A" w:rsidRDefault="009108C5"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Nikita Ilkevich Msc</w:t>
      </w:r>
      <w:r w:rsidR="00835402" w:rsidRPr="0063197A">
        <w:rPr>
          <w:rFonts w:ascii="Times New Roman" w:hAnsi="Times New Roman" w:cs="Times New Roman"/>
          <w:sz w:val="24"/>
          <w:szCs w:val="24"/>
          <w:lang w:val="en-GB"/>
        </w:rPr>
        <w:t>,</w:t>
      </w:r>
      <w:r w:rsidR="0063197A" w:rsidRPr="0063197A">
        <w:rPr>
          <w:rFonts w:ascii="Times New Roman" w:hAnsi="Times New Roman" w:cs="Times New Roman"/>
          <w:sz w:val="24"/>
          <w:szCs w:val="24"/>
          <w:lang w:val="en-GB"/>
        </w:rPr>
        <w:t xml:space="preserve"> </w:t>
      </w:r>
      <w:r w:rsidR="0063197A" w:rsidRPr="0063197A">
        <w:rPr>
          <w:rFonts w:ascii="Times New Roman" w:hAnsi="Times New Roman" w:cs="Times New Roman"/>
          <w:sz w:val="24"/>
          <w:szCs w:val="24"/>
          <w:lang w:val="en-GB"/>
        </w:rPr>
        <w:t>University of Westminster</w:t>
      </w:r>
      <w:r w:rsidR="0063197A" w:rsidRPr="0063197A">
        <w:rPr>
          <w:rFonts w:ascii="Times New Roman" w:hAnsi="Times New Roman" w:cs="Times New Roman"/>
          <w:sz w:val="24"/>
          <w:szCs w:val="24"/>
          <w:lang w:val="en-GB"/>
        </w:rPr>
        <w:t>,</w:t>
      </w:r>
      <w:r w:rsidR="00835402" w:rsidRPr="0063197A">
        <w:rPr>
          <w:rFonts w:ascii="Times New Roman" w:hAnsi="Times New Roman" w:cs="Times New Roman"/>
          <w:sz w:val="24"/>
          <w:szCs w:val="24"/>
          <w:lang w:val="en-GB"/>
        </w:rPr>
        <w:t xml:space="preserve"> United Kingdom</w:t>
      </w:r>
    </w:p>
    <w:p w14:paraId="7B7FF007" w14:textId="12679B3E" w:rsidR="009108C5" w:rsidRPr="0063197A" w:rsidRDefault="009108C5"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 xml:space="preserve">Under supervision of Dr Alastair Barr </w:t>
      </w:r>
    </w:p>
    <w:p w14:paraId="777725A9" w14:textId="3CD2399D" w:rsidR="009108C5" w:rsidRPr="0063197A" w:rsidRDefault="009108C5" w:rsidP="0063197A">
      <w:pPr>
        <w:jc w:val="both"/>
        <w:rPr>
          <w:rFonts w:ascii="Times New Roman" w:hAnsi="Times New Roman" w:cs="Times New Roman"/>
          <w:b/>
          <w:bCs/>
          <w:color w:val="FF0000"/>
          <w:sz w:val="24"/>
          <w:szCs w:val="24"/>
          <w:lang w:val="en-GB"/>
        </w:rPr>
      </w:pPr>
      <w:r w:rsidRPr="0063197A">
        <w:rPr>
          <w:rFonts w:ascii="Times New Roman" w:hAnsi="Times New Roman" w:cs="Times New Roman"/>
          <w:b/>
          <w:bCs/>
          <w:color w:val="FF0000"/>
          <w:sz w:val="24"/>
          <w:szCs w:val="24"/>
          <w:lang w:val="en-GB"/>
        </w:rPr>
        <w:t xml:space="preserve">Abstract </w:t>
      </w:r>
    </w:p>
    <w:p w14:paraId="094353D0" w14:textId="0109A8EC" w:rsidR="00E7734D" w:rsidRPr="0063197A" w:rsidRDefault="007A1BD0"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 xml:space="preserve">Primary function of platelets is the formation of a protective barrier against blood loss. Secondary but no less important functions of platelets are tissue repair and immunity. </w:t>
      </w:r>
      <w:r w:rsidR="006B2990" w:rsidRPr="0063197A">
        <w:rPr>
          <w:rFonts w:ascii="Times New Roman" w:hAnsi="Times New Roman" w:cs="Times New Roman"/>
          <w:sz w:val="24"/>
          <w:szCs w:val="24"/>
          <w:lang w:val="en-GB"/>
        </w:rPr>
        <w:t xml:space="preserve">Similar to the functioning of much of the rest of biology the exchange of phosphate groups plays a key role in the functioning of platelets. This exchange is potentiated by phosphatase and kinase enzymes. The CD148 encoded by </w:t>
      </w:r>
      <w:r w:rsidR="006B2990" w:rsidRPr="0063197A">
        <w:rPr>
          <w:rFonts w:ascii="Times New Roman" w:hAnsi="Times New Roman" w:cs="Times New Roman"/>
          <w:i/>
          <w:iCs/>
          <w:sz w:val="24"/>
          <w:szCs w:val="24"/>
          <w:lang w:val="en-GB"/>
        </w:rPr>
        <w:t xml:space="preserve">PTPRJ </w:t>
      </w:r>
      <w:r w:rsidR="006B2990" w:rsidRPr="0063197A">
        <w:rPr>
          <w:rFonts w:ascii="Times New Roman" w:hAnsi="Times New Roman" w:cs="Times New Roman"/>
          <w:sz w:val="24"/>
          <w:szCs w:val="24"/>
          <w:lang w:val="en-GB"/>
        </w:rPr>
        <w:t>is a phosphatase that is implicated both positive and negative regulation of platelet activation.</w:t>
      </w:r>
      <w:r w:rsidR="00D47DDF" w:rsidRPr="0063197A">
        <w:rPr>
          <w:rFonts w:ascii="Times New Roman" w:hAnsi="Times New Roman" w:cs="Times New Roman"/>
          <w:sz w:val="24"/>
          <w:szCs w:val="24"/>
          <w:lang w:val="en-GB"/>
        </w:rPr>
        <w:t xml:space="preserve"> Despite recent advances in understanding of CD148 the exact </w:t>
      </w:r>
      <w:r w:rsidR="005D0A13" w:rsidRPr="0063197A">
        <w:rPr>
          <w:rFonts w:ascii="Times New Roman" w:hAnsi="Times New Roman" w:cs="Times New Roman"/>
          <w:sz w:val="24"/>
          <w:szCs w:val="24"/>
          <w:lang w:val="en-GB"/>
        </w:rPr>
        <w:t xml:space="preserve">level of expression, structure, mechanism of action and precise role in the functioning of platelets are still not one hundred percent clear. The level of expression was the focus of the study. Finding the optimal method of visualising CD148 expression </w:t>
      </w:r>
      <w:r w:rsidR="00E7734D" w:rsidRPr="0063197A">
        <w:rPr>
          <w:rFonts w:ascii="Times New Roman" w:hAnsi="Times New Roman" w:cs="Times New Roman"/>
          <w:sz w:val="24"/>
          <w:szCs w:val="24"/>
          <w:lang w:val="en-GB"/>
        </w:rPr>
        <w:t xml:space="preserve">was the initial aim of the study. In the process of investigation, the varying levels of CD148 expression have pointed the researchers to the possibility that different subpopulations of platelets express CD148 at a varying level. Reticulated platelets (younger subset of the platelet population) were picked as most promising subpopulation. Syto 13 a nucleic dye was used distinguish reticulated platelets rather than a more traditional thiazole orange. The study proved successful in confirming the differences in the level of expression of CD148. </w:t>
      </w:r>
      <w:r w:rsidR="007935B0" w:rsidRPr="0063197A">
        <w:rPr>
          <w:rFonts w:ascii="Times New Roman" w:hAnsi="Times New Roman" w:cs="Times New Roman"/>
          <w:sz w:val="24"/>
          <w:szCs w:val="24"/>
          <w:lang w:val="en-GB"/>
        </w:rPr>
        <w:t>Reticulated platelets were shown statistically and graphically to express more CD148 then the rest of the population</w:t>
      </w:r>
      <w:r w:rsidR="00455F9E">
        <w:rPr>
          <w:rFonts w:ascii="Times New Roman" w:hAnsi="Times New Roman" w:cs="Times New Roman"/>
          <w:sz w:val="24"/>
          <w:szCs w:val="24"/>
          <w:lang w:val="en-GB"/>
        </w:rPr>
        <w:t xml:space="preserve"> </w:t>
      </w:r>
      <w:r w:rsidR="00455F9E" w:rsidRPr="00455F9E">
        <w:rPr>
          <w:rFonts w:ascii="Times New Roman" w:hAnsi="Times New Roman" w:cs="Times New Roman"/>
          <w:sz w:val="24"/>
          <w:szCs w:val="24"/>
          <w:lang w:val="en-GB"/>
        </w:rPr>
        <w:t>(</w:t>
      </w:r>
      <w:r w:rsidR="00455F9E" w:rsidRPr="00455F9E">
        <w:rPr>
          <w:rFonts w:ascii="Times New Roman" w:hAnsi="Times New Roman" w:cs="Times New Roman"/>
          <w:sz w:val="24"/>
          <w:szCs w:val="24"/>
          <w:lang w:val="en-GB"/>
        </w:rPr>
        <w:t>Figure 1</w:t>
      </w:r>
      <w:r w:rsidR="00455F9E" w:rsidRPr="00455F9E">
        <w:rPr>
          <w:rFonts w:ascii="Times New Roman" w:hAnsi="Times New Roman" w:cs="Times New Roman"/>
          <w:sz w:val="24"/>
          <w:szCs w:val="24"/>
          <w:lang w:val="en-GB"/>
        </w:rPr>
        <w:t>)</w:t>
      </w:r>
      <w:r w:rsidR="007935B0" w:rsidRPr="0063197A">
        <w:rPr>
          <w:rFonts w:ascii="Times New Roman" w:hAnsi="Times New Roman" w:cs="Times New Roman"/>
          <w:sz w:val="24"/>
          <w:szCs w:val="24"/>
          <w:lang w:val="en-GB"/>
        </w:rPr>
        <w:t>. Suggestions for further research and modalities of possible therapies were made.</w:t>
      </w:r>
    </w:p>
    <w:p w14:paraId="26D4C834" w14:textId="77777777" w:rsidR="00FB7706" w:rsidRDefault="00FB7706" w:rsidP="0063197A">
      <w:pPr>
        <w:jc w:val="both"/>
        <w:rPr>
          <w:rFonts w:ascii="Times New Roman" w:hAnsi="Times New Roman" w:cs="Times New Roman"/>
          <w:sz w:val="24"/>
          <w:szCs w:val="24"/>
          <w:lang w:val="en-GB"/>
        </w:rPr>
      </w:pPr>
    </w:p>
    <w:p w14:paraId="0BE6540E" w14:textId="3ABEC61C" w:rsidR="0017245C" w:rsidRDefault="0017245C" w:rsidP="0063197A">
      <w:pPr>
        <w:jc w:val="both"/>
        <w:rPr>
          <w:rFonts w:ascii="Times New Roman" w:hAnsi="Times New Roman" w:cs="Times New Roman"/>
          <w:sz w:val="24"/>
          <w:szCs w:val="24"/>
          <w:lang w:val="en-GB"/>
        </w:rPr>
      </w:pPr>
      <w:r>
        <w:rPr>
          <w:noProof/>
        </w:rPr>
        <w:drawing>
          <wp:inline distT="0" distB="0" distL="0" distR="0" wp14:anchorId="57975AF7" wp14:editId="1A7733C4">
            <wp:extent cx="4036695" cy="3364302"/>
            <wp:effectExtent l="0" t="0" r="1905" b="7620"/>
            <wp:docPr id="2" name="Picture 2"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applicatio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89000" cy="3407895"/>
                    </a:xfrm>
                    <a:prstGeom prst="rect">
                      <a:avLst/>
                    </a:prstGeom>
                    <a:noFill/>
                    <a:ln>
                      <a:noFill/>
                    </a:ln>
                  </pic:spPr>
                </pic:pic>
              </a:graphicData>
            </a:graphic>
          </wp:inline>
        </w:drawing>
      </w:r>
    </w:p>
    <w:p w14:paraId="3D5A72BA" w14:textId="11EB6540" w:rsidR="0017245C" w:rsidRDefault="0017245C" w:rsidP="0063197A">
      <w:pPr>
        <w:jc w:val="both"/>
        <w:rPr>
          <w:rFonts w:ascii="Times New Roman" w:hAnsi="Times New Roman" w:cs="Times New Roman"/>
          <w:sz w:val="24"/>
          <w:szCs w:val="24"/>
          <w:lang w:val="en-GB"/>
        </w:rPr>
      </w:pPr>
      <w:bookmarkStart w:id="0" w:name="_Hlk120118160"/>
      <w:r w:rsidRPr="00455F9E">
        <w:rPr>
          <w:rFonts w:ascii="Times New Roman" w:hAnsi="Times New Roman" w:cs="Times New Roman"/>
          <w:b/>
          <w:bCs/>
          <w:sz w:val="24"/>
          <w:szCs w:val="24"/>
          <w:lang w:val="en-GB"/>
        </w:rPr>
        <w:t>Figure</w:t>
      </w:r>
      <w:r w:rsidR="00455F9E">
        <w:rPr>
          <w:rFonts w:ascii="Times New Roman" w:hAnsi="Times New Roman" w:cs="Times New Roman"/>
          <w:b/>
          <w:bCs/>
          <w:sz w:val="24"/>
          <w:szCs w:val="24"/>
          <w:lang w:val="en-GB"/>
        </w:rPr>
        <w:t xml:space="preserve"> 1</w:t>
      </w:r>
      <w:r w:rsidRPr="00455F9E">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Graphical conformation of Hypothesis. Here the two subsets a</w:t>
      </w:r>
      <w:r w:rsidR="00FB7706">
        <w:rPr>
          <w:rFonts w:ascii="Times New Roman" w:hAnsi="Times New Roman" w:cs="Times New Roman"/>
          <w:sz w:val="24"/>
          <w:szCs w:val="24"/>
          <w:lang w:val="en-GB"/>
        </w:rPr>
        <w:t>nd</w:t>
      </w:r>
      <w:r>
        <w:rPr>
          <w:rFonts w:ascii="Times New Roman" w:hAnsi="Times New Roman" w:cs="Times New Roman"/>
          <w:sz w:val="24"/>
          <w:szCs w:val="24"/>
          <w:lang w:val="en-GB"/>
        </w:rPr>
        <w:t xml:space="preserve"> overlay</w:t>
      </w:r>
      <w:r w:rsidR="00FB7706">
        <w:rPr>
          <w:rFonts w:ascii="Times New Roman" w:hAnsi="Times New Roman" w:cs="Times New Roman"/>
          <w:sz w:val="24"/>
          <w:szCs w:val="24"/>
          <w:lang w:val="en-GB"/>
        </w:rPr>
        <w:t>ed on top of general population and arranged according to their FSC-a and SSC-A on the X-axis with the signal strength of syto 13 and PE labels on Y-axis of the panels A and B for syto 13 and C and D for PE signal of the anti-CD148. The adjunct histogram’s represent frequency of cells in either.</w:t>
      </w:r>
    </w:p>
    <w:bookmarkEnd w:id="0"/>
    <w:p w14:paraId="64FEA7D3" w14:textId="62A16D13" w:rsidR="007A1BD0" w:rsidRPr="0063197A" w:rsidRDefault="00601C47"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lastRenderedPageBreak/>
        <w:t xml:space="preserve"> </w:t>
      </w:r>
    </w:p>
    <w:p w14:paraId="3A66FE2C" w14:textId="77777777" w:rsidR="00455F9E" w:rsidRDefault="00455F9E" w:rsidP="0063197A">
      <w:pPr>
        <w:jc w:val="both"/>
        <w:rPr>
          <w:rFonts w:ascii="Times New Roman" w:hAnsi="Times New Roman" w:cs="Times New Roman"/>
          <w:b/>
          <w:bCs/>
          <w:sz w:val="24"/>
          <w:szCs w:val="24"/>
          <w:lang w:val="en-GB"/>
        </w:rPr>
      </w:pPr>
    </w:p>
    <w:p w14:paraId="0C5DA8B5" w14:textId="71F76191" w:rsidR="00601C47" w:rsidRPr="00455F9E" w:rsidRDefault="00601C47" w:rsidP="0063197A">
      <w:pPr>
        <w:jc w:val="both"/>
        <w:rPr>
          <w:rFonts w:ascii="Times New Roman" w:hAnsi="Times New Roman" w:cs="Times New Roman"/>
          <w:b/>
          <w:bCs/>
          <w:sz w:val="24"/>
          <w:szCs w:val="24"/>
          <w:lang w:val="en-GB"/>
        </w:rPr>
      </w:pPr>
      <w:r w:rsidRPr="00455F9E">
        <w:rPr>
          <w:rFonts w:ascii="Times New Roman" w:hAnsi="Times New Roman" w:cs="Times New Roman"/>
          <w:b/>
          <w:bCs/>
          <w:sz w:val="24"/>
          <w:szCs w:val="24"/>
          <w:lang w:val="en-GB"/>
        </w:rPr>
        <w:t xml:space="preserve">Recent publications </w:t>
      </w:r>
    </w:p>
    <w:p w14:paraId="2F14E4C3" w14:textId="77777777" w:rsidR="00601C47" w:rsidRPr="0063197A" w:rsidRDefault="00601C47" w:rsidP="0063197A">
      <w:pPr>
        <w:jc w:val="both"/>
        <w:rPr>
          <w:rFonts w:ascii="Times New Roman" w:hAnsi="Times New Roman" w:cs="Times New Roman"/>
          <w:sz w:val="24"/>
          <w:szCs w:val="24"/>
          <w:lang w:val="en-US"/>
        </w:rPr>
      </w:pPr>
      <w:r w:rsidRPr="0063197A">
        <w:rPr>
          <w:rFonts w:ascii="Times New Roman" w:hAnsi="Times New Roman" w:cs="Times New Roman"/>
          <w:sz w:val="24"/>
          <w:szCs w:val="24"/>
          <w:lang w:val="en-US"/>
        </w:rPr>
        <w:t>Mori, J., Nagy, Z., Di Nunzio, G., Smith, C., Geer, M., Al Ghaithi, R., van Geffen, J., Heising, S., Boothman, L., Tullemans, B., Correia, J., Tee, L., Kuijpers, M., Harrison, P., Heemskerk, J., Jarvis, G., Tarakhovsky, A., Weiss, A., Mazharian, A. and Senis, Y., 2018. Maintenance of murine platelet homeostasis by the kinase Csk and phosphatase CD148. Blood, 131(10), pp.1122-1144.</w:t>
      </w:r>
    </w:p>
    <w:p w14:paraId="35864D86" w14:textId="77777777" w:rsidR="00601C47" w:rsidRPr="0063197A" w:rsidRDefault="00601C47" w:rsidP="0063197A">
      <w:pPr>
        <w:jc w:val="both"/>
        <w:rPr>
          <w:rFonts w:ascii="Times New Roman" w:hAnsi="Times New Roman" w:cs="Times New Roman"/>
          <w:sz w:val="24"/>
          <w:szCs w:val="24"/>
          <w:lang w:val="en-US"/>
        </w:rPr>
      </w:pPr>
      <w:r w:rsidRPr="0063197A">
        <w:rPr>
          <w:rFonts w:ascii="Times New Roman" w:hAnsi="Times New Roman" w:cs="Times New Roman"/>
          <w:sz w:val="24"/>
          <w:szCs w:val="24"/>
          <w:lang w:val="en-US"/>
        </w:rPr>
        <w:t>Senis, Y. and Barr, A., 2018. Targeting Receptor-Type Protein Tyrosine Phosphatases with Biotherapeutics: Is Outside-in Better than Inside-Out?. Molecules, 23(3), p.569.</w:t>
      </w:r>
    </w:p>
    <w:p w14:paraId="7A63233A" w14:textId="77777777" w:rsidR="00601C47" w:rsidRPr="0063197A" w:rsidRDefault="00601C47" w:rsidP="0063197A">
      <w:pPr>
        <w:jc w:val="both"/>
        <w:rPr>
          <w:rFonts w:ascii="Times New Roman" w:hAnsi="Times New Roman" w:cs="Times New Roman"/>
          <w:sz w:val="24"/>
          <w:szCs w:val="24"/>
          <w:lang w:val="en-US"/>
        </w:rPr>
      </w:pPr>
      <w:r w:rsidRPr="0063197A">
        <w:rPr>
          <w:rFonts w:ascii="Times New Roman" w:hAnsi="Times New Roman" w:cs="Times New Roman"/>
          <w:sz w:val="24"/>
          <w:szCs w:val="24"/>
          <w:lang w:val="en-US"/>
        </w:rPr>
        <w:t>Baaten, C., ten Cate, H., van der Meijden, P. and Heemskerk, J., 2017. Platelet populations and priming in hematological diseases. Blood Reviews, 31(6), pp.389-399.</w:t>
      </w:r>
    </w:p>
    <w:p w14:paraId="0D51352F" w14:textId="77777777" w:rsidR="00601C47" w:rsidRPr="0063197A" w:rsidRDefault="00601C47" w:rsidP="0063197A">
      <w:pPr>
        <w:jc w:val="both"/>
        <w:rPr>
          <w:rFonts w:ascii="Times New Roman" w:hAnsi="Times New Roman" w:cs="Times New Roman"/>
          <w:sz w:val="24"/>
          <w:szCs w:val="24"/>
          <w:lang w:val="en-US"/>
        </w:rPr>
      </w:pPr>
      <w:r w:rsidRPr="0063197A">
        <w:rPr>
          <w:rFonts w:ascii="Times New Roman" w:hAnsi="Times New Roman" w:cs="Times New Roman"/>
          <w:sz w:val="24"/>
          <w:szCs w:val="24"/>
          <w:lang w:val="en-US"/>
        </w:rPr>
        <w:t>Marconi, C., Di Buduo, C., LeVine, K., Barozzi, S., Faleschini, M., Bozzi, V., Palombo, F., McKinstry, S., Lassandro, G., Giordano, P., Noris, P., Balduini, C., Savoia, A., Balduini, A., Pippucci, T., Seri, M., Katsanis, N. and Pecci, A., 2019. Loss-of-function mutations in PTPRJ cause a new form of inherited thrombocytopenia. Blood, 133(12), pp.1346-1357.</w:t>
      </w:r>
    </w:p>
    <w:p w14:paraId="53ECAFD1" w14:textId="77777777" w:rsidR="00601C47" w:rsidRPr="0063197A" w:rsidRDefault="00601C47" w:rsidP="0063197A">
      <w:pPr>
        <w:jc w:val="both"/>
        <w:rPr>
          <w:rFonts w:ascii="Times New Roman" w:hAnsi="Times New Roman" w:cs="Times New Roman"/>
          <w:sz w:val="24"/>
          <w:szCs w:val="24"/>
          <w:lang w:val="en-US"/>
        </w:rPr>
      </w:pPr>
      <w:r w:rsidRPr="0063197A">
        <w:rPr>
          <w:rFonts w:ascii="Times New Roman" w:hAnsi="Times New Roman" w:cs="Times New Roman"/>
          <w:sz w:val="24"/>
          <w:szCs w:val="24"/>
          <w:lang w:val="en-US"/>
        </w:rPr>
        <w:t>Hille, L., Cederqvist, M., Hromek, J., Stratz, C., Trenk, D. and Nührenberg, T., 2019. Evaluation of an Alternative Staining Method Using SYTO 13 to Determine Reticulated Platelets. Thrombosis and Haemostasis, 119(05), pp.779-785.</w:t>
      </w:r>
    </w:p>
    <w:p w14:paraId="54D5D050" w14:textId="77777777" w:rsidR="0063197A" w:rsidRPr="0063197A" w:rsidRDefault="0063197A" w:rsidP="0063197A">
      <w:pPr>
        <w:jc w:val="both"/>
        <w:rPr>
          <w:rFonts w:ascii="Times New Roman" w:hAnsi="Times New Roman" w:cs="Times New Roman"/>
          <w:b/>
          <w:bCs/>
          <w:color w:val="FF0000"/>
          <w:sz w:val="24"/>
          <w:szCs w:val="24"/>
          <w:lang w:val="en-GB"/>
        </w:rPr>
      </w:pPr>
    </w:p>
    <w:p w14:paraId="47FF4DE2" w14:textId="77777777" w:rsidR="0063197A" w:rsidRPr="0063197A" w:rsidRDefault="0063197A" w:rsidP="0063197A">
      <w:pPr>
        <w:jc w:val="both"/>
        <w:rPr>
          <w:rFonts w:ascii="Times New Roman" w:hAnsi="Times New Roman" w:cs="Times New Roman"/>
          <w:b/>
          <w:bCs/>
          <w:color w:val="FF0000"/>
          <w:sz w:val="24"/>
          <w:szCs w:val="24"/>
          <w:lang w:val="en-GB"/>
        </w:rPr>
      </w:pPr>
    </w:p>
    <w:p w14:paraId="63135BE1" w14:textId="29A55D76" w:rsidR="0063197A" w:rsidRPr="0063197A" w:rsidRDefault="0063197A" w:rsidP="0063197A">
      <w:pPr>
        <w:jc w:val="both"/>
        <w:rPr>
          <w:rFonts w:ascii="Times New Roman" w:hAnsi="Times New Roman" w:cs="Times New Roman"/>
          <w:b/>
          <w:bCs/>
          <w:color w:val="FF0000"/>
          <w:sz w:val="24"/>
          <w:szCs w:val="24"/>
          <w:lang w:val="en-GB"/>
        </w:rPr>
      </w:pPr>
      <w:r w:rsidRPr="0063197A">
        <w:rPr>
          <w:rFonts w:ascii="Times New Roman" w:hAnsi="Times New Roman" w:cs="Times New Roman"/>
          <w:b/>
          <w:bCs/>
          <w:color w:val="FF0000"/>
          <w:sz w:val="24"/>
          <w:szCs w:val="24"/>
          <w:lang w:val="en-GB"/>
        </w:rPr>
        <w:t>Biography:</w:t>
      </w:r>
    </w:p>
    <w:p w14:paraId="73EEB74B" w14:textId="1644A8FB" w:rsidR="000F003E" w:rsidRPr="0063197A" w:rsidRDefault="000F003E"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 xml:space="preserve">Nikita has his expertise in flow cytometry. Combined with evolutionary biology new insight has been made into the expression of CD148 and into the way in which it relates to platelet subpopulations. The work was mainly based on the Mori </w:t>
      </w:r>
      <w:r w:rsidRPr="0063197A">
        <w:rPr>
          <w:rFonts w:ascii="Times New Roman" w:hAnsi="Times New Roman" w:cs="Times New Roman"/>
          <w:i/>
          <w:iCs/>
          <w:sz w:val="24"/>
          <w:szCs w:val="24"/>
          <w:lang w:val="en-GB"/>
        </w:rPr>
        <w:t>et al</w:t>
      </w:r>
      <w:r w:rsidRPr="0063197A">
        <w:rPr>
          <w:rFonts w:ascii="Times New Roman" w:hAnsi="Times New Roman" w:cs="Times New Roman"/>
          <w:sz w:val="24"/>
          <w:szCs w:val="24"/>
          <w:lang w:val="en-GB"/>
        </w:rPr>
        <w:t xml:space="preserve"> 2018. </w:t>
      </w:r>
    </w:p>
    <w:p w14:paraId="3C1448D0" w14:textId="1B3725FE" w:rsidR="00FE61B7" w:rsidRPr="00455F9E" w:rsidRDefault="00FE61B7" w:rsidP="0063197A">
      <w:pPr>
        <w:jc w:val="both"/>
        <w:rPr>
          <w:rFonts w:ascii="Times New Roman" w:hAnsi="Times New Roman" w:cs="Times New Roman"/>
          <w:b/>
          <w:bCs/>
          <w:sz w:val="24"/>
          <w:szCs w:val="24"/>
          <w:lang w:val="en-US"/>
        </w:rPr>
      </w:pPr>
      <w:r w:rsidRPr="00455F9E">
        <w:rPr>
          <w:rFonts w:ascii="Times New Roman" w:hAnsi="Times New Roman" w:cs="Times New Roman"/>
          <w:b/>
          <w:bCs/>
          <w:sz w:val="24"/>
          <w:szCs w:val="24"/>
          <w:lang w:val="en-US"/>
        </w:rPr>
        <w:t xml:space="preserve">Presenting author details </w:t>
      </w:r>
    </w:p>
    <w:p w14:paraId="229CF1DF" w14:textId="170EA6FD" w:rsidR="000F003E" w:rsidRPr="0063197A" w:rsidRDefault="000F003E"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 xml:space="preserve">Full name – Nikita Ilkevich </w:t>
      </w:r>
    </w:p>
    <w:p w14:paraId="28290071" w14:textId="229762A8" w:rsidR="000F003E" w:rsidRPr="0063197A" w:rsidRDefault="000F003E"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Contact number – 07453421838</w:t>
      </w:r>
    </w:p>
    <w:p w14:paraId="2F65E770" w14:textId="476B6436" w:rsidR="000F003E" w:rsidRPr="0063197A" w:rsidRDefault="000F003E"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 xml:space="preserve">Mail id – </w:t>
      </w:r>
      <w:hyperlink r:id="rId5" w:history="1">
        <w:r w:rsidRPr="0063197A">
          <w:rPr>
            <w:rStyle w:val="Hyperlink"/>
            <w:rFonts w:ascii="Times New Roman" w:hAnsi="Times New Roman" w:cs="Times New Roman"/>
            <w:sz w:val="24"/>
            <w:szCs w:val="24"/>
            <w:lang w:val="en-GB"/>
          </w:rPr>
          <w:t>ilkevichnikita@gmail.com</w:t>
        </w:r>
      </w:hyperlink>
    </w:p>
    <w:p w14:paraId="2D0009CC" w14:textId="0739F147" w:rsidR="000F003E" w:rsidRPr="0063197A" w:rsidRDefault="000F003E" w:rsidP="0063197A">
      <w:pPr>
        <w:jc w:val="both"/>
        <w:rPr>
          <w:rFonts w:ascii="Times New Roman" w:hAnsi="Times New Roman" w:cs="Times New Roman"/>
          <w:sz w:val="24"/>
          <w:szCs w:val="24"/>
          <w:lang w:val="en-GB"/>
        </w:rPr>
      </w:pPr>
      <w:r w:rsidRPr="0063197A">
        <w:rPr>
          <w:rFonts w:ascii="Times New Roman" w:hAnsi="Times New Roman" w:cs="Times New Roman"/>
          <w:sz w:val="24"/>
          <w:szCs w:val="24"/>
          <w:lang w:val="en-GB"/>
        </w:rPr>
        <w:t xml:space="preserve">Category – </w:t>
      </w:r>
      <w:r w:rsidR="0007048B">
        <w:rPr>
          <w:rFonts w:ascii="Times New Roman" w:hAnsi="Times New Roman" w:cs="Times New Roman"/>
          <w:sz w:val="24"/>
          <w:szCs w:val="24"/>
          <w:lang w:val="en-GB"/>
        </w:rPr>
        <w:t>Poster</w:t>
      </w:r>
      <w:r w:rsidRPr="0063197A">
        <w:rPr>
          <w:rFonts w:ascii="Times New Roman" w:hAnsi="Times New Roman" w:cs="Times New Roman"/>
          <w:sz w:val="24"/>
          <w:szCs w:val="24"/>
          <w:lang w:val="en-GB"/>
        </w:rPr>
        <w:t xml:space="preserve"> presentation </w:t>
      </w:r>
    </w:p>
    <w:p w14:paraId="31EA1900" w14:textId="77777777" w:rsidR="000F003E" w:rsidRPr="00601C47" w:rsidRDefault="000F003E" w:rsidP="00601C47">
      <w:pPr>
        <w:rPr>
          <w:lang w:val="en-GB"/>
        </w:rPr>
      </w:pPr>
    </w:p>
    <w:p w14:paraId="3846B173" w14:textId="0B126983" w:rsidR="00601C47" w:rsidRPr="00601C47" w:rsidRDefault="00601C47" w:rsidP="00601C47">
      <w:pPr>
        <w:rPr>
          <w:lang w:val="en-GB"/>
        </w:rPr>
      </w:pPr>
    </w:p>
    <w:p w14:paraId="5C668D2C" w14:textId="6542AEDE" w:rsidR="00601C47" w:rsidRPr="00601C47" w:rsidRDefault="00601C47" w:rsidP="00601C47">
      <w:pPr>
        <w:rPr>
          <w:lang w:val="en-GB"/>
        </w:rPr>
      </w:pPr>
    </w:p>
    <w:p w14:paraId="4A3B6B57" w14:textId="6491C9A3" w:rsidR="00601C47" w:rsidRPr="00601C47" w:rsidRDefault="00601C47" w:rsidP="00601C47">
      <w:pPr>
        <w:rPr>
          <w:lang w:val="en-GB"/>
        </w:rPr>
      </w:pPr>
    </w:p>
    <w:p w14:paraId="47F154AC" w14:textId="104A17E3" w:rsidR="00601C47" w:rsidRPr="00601C47" w:rsidRDefault="00601C47" w:rsidP="00601C47">
      <w:pPr>
        <w:rPr>
          <w:lang w:val="en-GB"/>
        </w:rPr>
      </w:pPr>
    </w:p>
    <w:p w14:paraId="05832B4C" w14:textId="1420AF32" w:rsidR="00601C47" w:rsidRPr="00601C47" w:rsidRDefault="00601C47" w:rsidP="00601C47">
      <w:pPr>
        <w:rPr>
          <w:lang w:val="en-GB"/>
        </w:rPr>
      </w:pPr>
    </w:p>
    <w:p w14:paraId="44EDC790" w14:textId="710DB434" w:rsidR="00601C47" w:rsidRPr="00601C47" w:rsidRDefault="00601C47" w:rsidP="00601C47">
      <w:pPr>
        <w:rPr>
          <w:lang w:val="en-GB"/>
        </w:rPr>
      </w:pPr>
    </w:p>
    <w:p w14:paraId="35C72760" w14:textId="343E6AB6" w:rsidR="00601C47" w:rsidRPr="00601C47" w:rsidRDefault="00601C47" w:rsidP="00601C47">
      <w:pPr>
        <w:rPr>
          <w:lang w:val="en-GB"/>
        </w:rPr>
      </w:pPr>
    </w:p>
    <w:p w14:paraId="5990A3FA" w14:textId="1CEFA230" w:rsidR="00601C47" w:rsidRPr="00601C47" w:rsidRDefault="00601C47" w:rsidP="00601C47">
      <w:pPr>
        <w:rPr>
          <w:lang w:val="en-GB"/>
        </w:rPr>
      </w:pPr>
    </w:p>
    <w:p w14:paraId="302DC249" w14:textId="668342DC" w:rsidR="00601C47" w:rsidRPr="00601C47" w:rsidRDefault="00601C47" w:rsidP="00601C47">
      <w:pPr>
        <w:rPr>
          <w:lang w:val="en-GB"/>
        </w:rPr>
      </w:pPr>
    </w:p>
    <w:p w14:paraId="54A8D1AE" w14:textId="6B80DF4B" w:rsidR="00601C47" w:rsidRPr="00601C47" w:rsidRDefault="00601C47" w:rsidP="00601C47">
      <w:pPr>
        <w:rPr>
          <w:lang w:val="en-GB"/>
        </w:rPr>
      </w:pPr>
    </w:p>
    <w:p w14:paraId="4A032D57" w14:textId="76EF4E6D" w:rsidR="00601C47" w:rsidRPr="00601C47" w:rsidRDefault="00601C47" w:rsidP="00601C47">
      <w:pPr>
        <w:rPr>
          <w:lang w:val="en-GB"/>
        </w:rPr>
      </w:pPr>
    </w:p>
    <w:p w14:paraId="55A0940C" w14:textId="0C5C724B" w:rsidR="00601C47" w:rsidRPr="00601C47" w:rsidRDefault="00601C47" w:rsidP="00601C47">
      <w:pPr>
        <w:rPr>
          <w:lang w:val="en-GB"/>
        </w:rPr>
      </w:pPr>
    </w:p>
    <w:p w14:paraId="51996A3B" w14:textId="058D421D" w:rsidR="00601C47" w:rsidRPr="00601C47" w:rsidRDefault="00601C47" w:rsidP="00601C47">
      <w:pPr>
        <w:rPr>
          <w:lang w:val="en-GB"/>
        </w:rPr>
      </w:pPr>
    </w:p>
    <w:p w14:paraId="172DFC7F" w14:textId="77777777" w:rsidR="00601C47" w:rsidRPr="00601C47" w:rsidRDefault="00601C47" w:rsidP="00601C47">
      <w:pPr>
        <w:rPr>
          <w:lang w:val="en-GB"/>
        </w:rPr>
      </w:pPr>
    </w:p>
    <w:sectPr w:rsidR="00601C47" w:rsidRPr="00601C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BD0"/>
    <w:rsid w:val="0007048B"/>
    <w:rsid w:val="000F003E"/>
    <w:rsid w:val="00124C2E"/>
    <w:rsid w:val="0017245C"/>
    <w:rsid w:val="00455F9E"/>
    <w:rsid w:val="005A09F6"/>
    <w:rsid w:val="005D0A13"/>
    <w:rsid w:val="00601C47"/>
    <w:rsid w:val="0063197A"/>
    <w:rsid w:val="00642948"/>
    <w:rsid w:val="006B2990"/>
    <w:rsid w:val="007935B0"/>
    <w:rsid w:val="007A1BD0"/>
    <w:rsid w:val="00835402"/>
    <w:rsid w:val="009108C5"/>
    <w:rsid w:val="00D47DDF"/>
    <w:rsid w:val="00E40CEF"/>
    <w:rsid w:val="00E7734D"/>
    <w:rsid w:val="00FB7706"/>
    <w:rsid w:val="00FE6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C26E"/>
  <w15:chartTrackingRefBased/>
  <w15:docId w15:val="{1BCF5BC4-A4E5-4E7B-9C55-2346424E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03E"/>
    <w:rPr>
      <w:color w:val="0563C1" w:themeColor="hyperlink"/>
      <w:u w:val="single"/>
    </w:rPr>
  </w:style>
  <w:style w:type="character" w:styleId="UnresolvedMention">
    <w:name w:val="Unresolved Mention"/>
    <w:basedOn w:val="DefaultParagraphFont"/>
    <w:uiPriority w:val="99"/>
    <w:semiHidden/>
    <w:unhideWhenUsed/>
    <w:rsid w:val="000F0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lkevichnikita@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Ilkevich</dc:creator>
  <cp:keywords/>
  <dc:description/>
  <cp:lastModifiedBy>sleepmedicine</cp:lastModifiedBy>
  <cp:revision>3</cp:revision>
  <dcterms:created xsi:type="dcterms:W3CDTF">2022-11-23T12:25:00Z</dcterms:created>
  <dcterms:modified xsi:type="dcterms:W3CDTF">2022-11-23T12:27:00Z</dcterms:modified>
</cp:coreProperties>
</file>