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D579E">
      <w:pPr>
        <w:rPr>
          <w:rFonts w:ascii="Times New Roman" w:hAnsi="Times New Roman" w:cs="Times New Roman"/>
          <w:b/>
          <w:sz w:val="32"/>
        </w:rPr>
      </w:pPr>
      <w:bookmarkStart w:id="0" w:name="_GoBack"/>
      <w:r w:rsidRPr="00CD579E">
        <w:rPr>
          <w:rFonts w:ascii="Times New Roman" w:hAnsi="Times New Roman" w:cs="Times New Roman"/>
          <w:b/>
          <w:sz w:val="32"/>
        </w:rPr>
        <w:t xml:space="preserve">Toxic impacts of SARS-CoV-2 variants and anti-viral potential effects in hospitalized patients in </w:t>
      </w:r>
      <w:proofErr w:type="spellStart"/>
      <w:r w:rsidRPr="00CD579E">
        <w:rPr>
          <w:rFonts w:ascii="Times New Roman" w:hAnsi="Times New Roman" w:cs="Times New Roman"/>
          <w:b/>
          <w:sz w:val="32"/>
        </w:rPr>
        <w:t>Duhok</w:t>
      </w:r>
      <w:proofErr w:type="spellEnd"/>
      <w:r w:rsidRPr="00CD579E">
        <w:rPr>
          <w:rFonts w:ascii="Times New Roman" w:hAnsi="Times New Roman" w:cs="Times New Roman"/>
          <w:b/>
          <w:sz w:val="32"/>
        </w:rPr>
        <w:t xml:space="preserve"> Province-Kurdistan Region</w:t>
      </w:r>
    </w:p>
    <w:p w:rsidR="00CD579E" w:rsidRDefault="00CD579E">
      <w:pPr>
        <w:rPr>
          <w:rFonts w:ascii="Times New Roman" w:hAnsi="Times New Roman" w:cs="Times New Roman"/>
          <w:sz w:val="24"/>
        </w:rPr>
      </w:pPr>
      <w:proofErr w:type="spellStart"/>
      <w:r w:rsidRPr="00CD579E">
        <w:rPr>
          <w:rFonts w:ascii="Times New Roman" w:hAnsi="Times New Roman" w:cs="Times New Roman"/>
          <w:sz w:val="24"/>
        </w:rPr>
        <w:t>Ghazwan</w:t>
      </w:r>
      <w:proofErr w:type="spellEnd"/>
      <w:r w:rsidRPr="00CD579E">
        <w:rPr>
          <w:rFonts w:ascii="Times New Roman" w:hAnsi="Times New Roman" w:cs="Times New Roman"/>
          <w:sz w:val="24"/>
        </w:rPr>
        <w:t xml:space="preserve"> Ahmed M. </w:t>
      </w:r>
      <w:proofErr w:type="spellStart"/>
      <w:r w:rsidRPr="00CD579E">
        <w:rPr>
          <w:rFonts w:ascii="Times New Roman" w:hAnsi="Times New Roman" w:cs="Times New Roman"/>
          <w:sz w:val="24"/>
        </w:rPr>
        <w:t>Raouf</w:t>
      </w:r>
      <w:proofErr w:type="spellEnd"/>
    </w:p>
    <w:p w:rsidR="00CD579E" w:rsidRPr="00CD579E" w:rsidRDefault="00335456">
      <w:pPr>
        <w:rPr>
          <w:rFonts w:ascii="Times New Roman" w:hAnsi="Times New Roman" w:cs="Times New Roman"/>
        </w:rPr>
      </w:pPr>
      <w:r>
        <w:rPr>
          <w:rFonts w:ascii="Times New Roman" w:hAnsi="Times New Roman" w:cs="Times New Roman"/>
        </w:rPr>
        <w:t xml:space="preserve">University of </w:t>
      </w:r>
      <w:proofErr w:type="spellStart"/>
      <w:r>
        <w:rPr>
          <w:rFonts w:ascii="Times New Roman" w:hAnsi="Times New Roman" w:cs="Times New Roman"/>
        </w:rPr>
        <w:t>Duhok</w:t>
      </w:r>
      <w:proofErr w:type="spellEnd"/>
      <w:r w:rsidR="00CD579E" w:rsidRPr="00CD579E">
        <w:rPr>
          <w:rFonts w:ascii="Times New Roman" w:hAnsi="Times New Roman" w:cs="Times New Roman"/>
        </w:rPr>
        <w:t>, I</w:t>
      </w:r>
      <w:r>
        <w:rPr>
          <w:rFonts w:ascii="Times New Roman" w:hAnsi="Times New Roman" w:cs="Times New Roman"/>
        </w:rPr>
        <w:t>raq</w:t>
      </w:r>
    </w:p>
    <w:p w:rsidR="00CD579E" w:rsidRPr="00CD579E" w:rsidRDefault="00CD579E" w:rsidP="00CD579E">
      <w:pPr>
        <w:jc w:val="center"/>
        <w:rPr>
          <w:rFonts w:ascii="Times New Roman" w:hAnsi="Times New Roman" w:cs="Times New Roman"/>
          <w:b/>
          <w:sz w:val="24"/>
        </w:rPr>
      </w:pPr>
      <w:r w:rsidRPr="00CD579E">
        <w:rPr>
          <w:rFonts w:ascii="Times New Roman" w:hAnsi="Times New Roman" w:cs="Times New Roman"/>
          <w:b/>
          <w:sz w:val="24"/>
        </w:rPr>
        <w:t>Abstract</w:t>
      </w:r>
    </w:p>
    <w:p w:rsidR="00CD579E" w:rsidRDefault="00CD579E" w:rsidP="00CD579E">
      <w:pPr>
        <w:jc w:val="both"/>
        <w:rPr>
          <w:rFonts w:ascii="Times New Roman" w:hAnsi="Times New Roman" w:cs="Times New Roman"/>
          <w:sz w:val="20"/>
        </w:rPr>
      </w:pPr>
      <w:r w:rsidRPr="00CD579E">
        <w:rPr>
          <w:rFonts w:ascii="Times New Roman" w:hAnsi="Times New Roman" w:cs="Times New Roman"/>
          <w:sz w:val="20"/>
        </w:rPr>
        <w:t>The Coronavirus Disease 2019 (COVID-19) pandemic was caused by a novel coronavirus the well-known Severe Acute Respiratory Syndrome Corona</w:t>
      </w:r>
      <w:r>
        <w:rPr>
          <w:rFonts w:ascii="Times New Roman" w:hAnsi="Times New Roman" w:cs="Times New Roman"/>
          <w:sz w:val="20"/>
        </w:rPr>
        <w:t xml:space="preserve"> </w:t>
      </w:r>
      <w:r w:rsidRPr="00CD579E">
        <w:rPr>
          <w:rFonts w:ascii="Times New Roman" w:hAnsi="Times New Roman" w:cs="Times New Roman"/>
          <w:sz w:val="20"/>
        </w:rPr>
        <w:t xml:space="preserve">Virus 2 (SARS-CoV-2) that emerged in 2019, the crisis that didn’t respond to standards of care over the world including well-developed countries. Clinicians need to be mindful of the toxicity of a wide variety of possibly unfamiliar substances being tested or repurposed to treat COVID-19 including poly-pharmacy. Flu-like symptoms were the most accompaniment of novel coronavirus infection, progressing in some cases to Acute Respiratory Distress Syndrome (ARDS) that eventually leads to death. Toxic impacts of coronavirus increase the probability of developing life-threatening systemic inflammatory syndromes called cytokine storms that suddenly deteriorate a patient's status to a severe or critical condition and might evoke oxidative stress, raising mortality rates. Oxidative stress can be measured indirectly by measuring DNA/RNA damage levels, lipid peroxidation and protein oxidation/nitration, rather than a direct measurement of reactive oxygen species. It has been confirmed that oxidative stress is involved in a variety of diseases, such as pneumonia, pancreatitis, diabetic nephropathy, cardiovascular disease, nervous system disease and cancer. Therefore, the Total Oxidant Status (TOS) is usually used to estimate the overall oxidation state of the body. Similarly, Total Antioxidant Capacity (TAC) is used to measure the overall antioxidant capacity of the body. The Oxidative Stress Index (OSI), which is the ratio of TOS to TAS, might be a more precise index of oxidative stress in the body because it is a comprehensive measurement of Total Antioxidant Status </w:t>
      </w:r>
      <w:r>
        <w:rPr>
          <w:rFonts w:ascii="Times New Roman" w:hAnsi="Times New Roman" w:cs="Times New Roman"/>
          <w:sz w:val="20"/>
        </w:rPr>
        <w:t>(TAS) and TOS. TOS, TAS</w:t>
      </w:r>
      <w:r w:rsidRPr="00CD579E">
        <w:rPr>
          <w:rFonts w:ascii="Times New Roman" w:hAnsi="Times New Roman" w:cs="Times New Roman"/>
          <w:sz w:val="20"/>
        </w:rPr>
        <w:t xml:space="preserve"> and OSI are oxidative stress parameters used to evaluate the overall oxidative stress status in the body tracking genetic variations from positive SARS-CoV-2 samples yield crucial information about the number of variants circulating in an outbreak related to the severity of the disease and the possible lines of transmission but sequencing every positive SARS-CoV-2 sample would be prohibitively costly for population-scale test and trace operations. Genotyp</w:t>
      </w:r>
      <w:r>
        <w:rPr>
          <w:rFonts w:ascii="Times New Roman" w:hAnsi="Times New Roman" w:cs="Times New Roman"/>
          <w:sz w:val="20"/>
        </w:rPr>
        <w:t>ing is a rapid, high-throughput</w:t>
      </w:r>
      <w:r w:rsidRPr="00CD579E">
        <w:rPr>
          <w:rFonts w:ascii="Times New Roman" w:hAnsi="Times New Roman" w:cs="Times New Roman"/>
          <w:sz w:val="20"/>
        </w:rPr>
        <w:t xml:space="preserve"> and low-cost alternative for screening positive SARS-CoV-2 samples in many settings. Single-Nucleotide Polymorphism (SNP) identification pipeline isolated from coronavirus has been designed to identify genetic variation using sequenced SARS-CoV-2 samples. Pipeline identifies a minimal marker panel that can define distinct genotypes. This genotyping panel will be applied on 322 stored </w:t>
      </w:r>
      <w:proofErr w:type="spellStart"/>
      <w:r w:rsidRPr="00CD579E">
        <w:rPr>
          <w:rFonts w:ascii="Times New Roman" w:hAnsi="Times New Roman" w:cs="Times New Roman"/>
          <w:sz w:val="20"/>
        </w:rPr>
        <w:t>qRT</w:t>
      </w:r>
      <w:proofErr w:type="spellEnd"/>
      <w:r w:rsidRPr="00CD579E">
        <w:rPr>
          <w:rFonts w:ascii="Times New Roman" w:hAnsi="Times New Roman" w:cs="Times New Roman"/>
          <w:sz w:val="20"/>
        </w:rPr>
        <w:t>-PCR positive SARS-CoV-2 clinical samples that had been collected across the northwest of Kurdistan during June 2020-February 2022.</w:t>
      </w:r>
    </w:p>
    <w:p w:rsidR="00CD579E" w:rsidRDefault="00CD579E" w:rsidP="00CD579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D998E00">
            <wp:extent cx="4079019" cy="1407381"/>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85978" cy="1409782"/>
                    </a:xfrm>
                    <a:prstGeom prst="rect">
                      <a:avLst/>
                    </a:prstGeom>
                    <a:noFill/>
                  </pic:spPr>
                </pic:pic>
              </a:graphicData>
            </a:graphic>
          </wp:inline>
        </w:drawing>
      </w:r>
    </w:p>
    <w:p w:rsidR="00CD579E" w:rsidRPr="00CD579E" w:rsidRDefault="00CD579E" w:rsidP="00CD579E">
      <w:pPr>
        <w:jc w:val="center"/>
        <w:rPr>
          <w:rFonts w:ascii="Times New Roman" w:hAnsi="Times New Roman" w:cs="Times New Roman"/>
          <w:i/>
          <w:sz w:val="18"/>
        </w:rPr>
      </w:pPr>
      <w:proofErr w:type="gramStart"/>
      <w:r w:rsidRPr="00CD579E">
        <w:rPr>
          <w:rFonts w:ascii="Times New Roman" w:hAnsi="Times New Roman" w:cs="Times New Roman"/>
          <w:b/>
          <w:i/>
          <w:sz w:val="18"/>
        </w:rPr>
        <w:t>Figure 1.</w:t>
      </w:r>
      <w:proofErr w:type="gramEnd"/>
      <w:r w:rsidRPr="00CD579E">
        <w:rPr>
          <w:rFonts w:ascii="Times New Roman" w:hAnsi="Times New Roman" w:cs="Times New Roman"/>
          <w:i/>
          <w:sz w:val="18"/>
        </w:rPr>
        <w:t xml:space="preserve"> How the SARS-CoV-2 genotyping panel can be used to identify circulating SARS-CoV-2 variants.</w:t>
      </w:r>
    </w:p>
    <w:p w:rsidR="00CD579E" w:rsidRDefault="00CD579E" w:rsidP="00CD579E">
      <w:pPr>
        <w:jc w:val="both"/>
        <w:rPr>
          <w:rFonts w:ascii="Times New Roman" w:hAnsi="Times New Roman" w:cs="Times New Roman"/>
          <w:sz w:val="20"/>
        </w:rPr>
      </w:pPr>
      <w:r>
        <w:rPr>
          <w:rFonts w:ascii="Times New Roman" w:hAnsi="Times New Roman" w:cs="Times New Roman"/>
          <w:sz w:val="20"/>
        </w:rPr>
        <w:t>[</w:t>
      </w:r>
      <w:r w:rsidRPr="00CD579E">
        <w:rPr>
          <w:rFonts w:ascii="Times New Roman" w:hAnsi="Times New Roman" w:cs="Times New Roman"/>
          <w:sz w:val="20"/>
        </w:rPr>
        <w:t>Fig</w:t>
      </w:r>
      <w:r>
        <w:rPr>
          <w:rFonts w:ascii="Times New Roman" w:hAnsi="Times New Roman" w:cs="Times New Roman"/>
          <w:sz w:val="20"/>
        </w:rPr>
        <w:t>ure</w:t>
      </w:r>
      <w:r w:rsidRPr="00CD579E">
        <w:rPr>
          <w:rFonts w:ascii="Times New Roman" w:hAnsi="Times New Roman" w:cs="Times New Roman"/>
          <w:sz w:val="20"/>
        </w:rPr>
        <w:t xml:space="preserve"> 1</w:t>
      </w:r>
      <w:r>
        <w:rPr>
          <w:rFonts w:ascii="Times New Roman" w:hAnsi="Times New Roman" w:cs="Times New Roman"/>
          <w:sz w:val="20"/>
        </w:rPr>
        <w:t>]</w:t>
      </w:r>
      <w:r w:rsidRPr="00CD579E">
        <w:rPr>
          <w:rFonts w:ascii="Times New Roman" w:hAnsi="Times New Roman" w:cs="Times New Roman"/>
          <w:sz w:val="20"/>
        </w:rPr>
        <w:t xml:space="preserve"> shows how this technique could be incorporated into diagnostic pathways. RNA from positive samples, from individuals with COVID-19, could be further screened with a SARS-CoV-2 genotyping panel to identify </w:t>
      </w:r>
      <w:r w:rsidRPr="00CD579E">
        <w:rPr>
          <w:rFonts w:ascii="Times New Roman" w:hAnsi="Times New Roman" w:cs="Times New Roman"/>
          <w:sz w:val="20"/>
        </w:rPr>
        <w:lastRenderedPageBreak/>
        <w:t>variants, thereby providing valuable genomic data to investigate outbreaks, potentially identifying transmission pathways linking local and regional cases and helping to inform possible interventions. Notably, efficient methods for tracking the transmission of certain lineages could be vital in situations where mutations are associated with the increased transmission, severity of disease, or vaccine failure. Collected samples will propagate in Vero E6 cells cultured in minimum essential medium and treated with anti-viral therapy to estimate their potential effects (Fig</w:t>
      </w:r>
      <w:r>
        <w:rPr>
          <w:rFonts w:ascii="Times New Roman" w:hAnsi="Times New Roman" w:cs="Times New Roman"/>
          <w:sz w:val="20"/>
        </w:rPr>
        <w:t>ure</w:t>
      </w:r>
      <w:r w:rsidRPr="00CD579E">
        <w:rPr>
          <w:rFonts w:ascii="Times New Roman" w:hAnsi="Times New Roman" w:cs="Times New Roman"/>
          <w:sz w:val="20"/>
        </w:rPr>
        <w:t xml:space="preserve"> 2). The Swiss Target Prediction website will be conducted to evaluate the poly-pharmacy effects and predict the potential impacts of multi-therapy drugs. Determination of choline esterase activity and its suitability to inhibitors will be conducted in the study to check the inhibitor's effect against isolated SARS-CoV-2 patient culture cells on a molecular basis.</w:t>
      </w:r>
    </w:p>
    <w:p w:rsidR="00CD579E" w:rsidRDefault="00CD579E" w:rsidP="00CD579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CFB53D2">
            <wp:extent cx="3919993" cy="1796994"/>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21681" cy="1797768"/>
                    </a:xfrm>
                    <a:prstGeom prst="rect">
                      <a:avLst/>
                    </a:prstGeom>
                    <a:noFill/>
                  </pic:spPr>
                </pic:pic>
              </a:graphicData>
            </a:graphic>
          </wp:inline>
        </w:drawing>
      </w:r>
    </w:p>
    <w:p w:rsidR="00CD579E" w:rsidRDefault="00CD579E" w:rsidP="00CD579E">
      <w:pPr>
        <w:jc w:val="center"/>
        <w:rPr>
          <w:rFonts w:ascii="Times New Roman" w:hAnsi="Times New Roman" w:cs="Times New Roman"/>
          <w:i/>
          <w:sz w:val="18"/>
        </w:rPr>
      </w:pPr>
      <w:proofErr w:type="gramStart"/>
      <w:r w:rsidRPr="00CD579E">
        <w:rPr>
          <w:rFonts w:ascii="Times New Roman" w:hAnsi="Times New Roman" w:cs="Times New Roman"/>
          <w:b/>
          <w:i/>
          <w:sz w:val="18"/>
        </w:rPr>
        <w:t>Figure 2.</w:t>
      </w:r>
      <w:proofErr w:type="gramEnd"/>
      <w:r w:rsidRPr="00CD579E">
        <w:rPr>
          <w:rFonts w:ascii="Times New Roman" w:hAnsi="Times New Roman" w:cs="Times New Roman"/>
          <w:i/>
          <w:sz w:val="18"/>
        </w:rPr>
        <w:t xml:space="preserve"> Representation of the effects of </w:t>
      </w:r>
      <w:proofErr w:type="spellStart"/>
      <w:r w:rsidRPr="00CD579E">
        <w:rPr>
          <w:rFonts w:ascii="Times New Roman" w:hAnsi="Times New Roman" w:cs="Times New Roman"/>
          <w:i/>
          <w:sz w:val="18"/>
        </w:rPr>
        <w:t>microcystins</w:t>
      </w:r>
      <w:proofErr w:type="spellEnd"/>
      <w:r w:rsidRPr="00CD579E">
        <w:rPr>
          <w:rFonts w:ascii="Times New Roman" w:hAnsi="Times New Roman" w:cs="Times New Roman"/>
          <w:i/>
          <w:sz w:val="18"/>
        </w:rPr>
        <w:t xml:space="preserve"> in the cytoskeleton, namely the changes of the hepatocytes and sinusoidal capillary structure, and intrahepatic bleeding, mediated by the inhibition of protein phosp</w:t>
      </w:r>
      <w:r>
        <w:rPr>
          <w:rFonts w:ascii="Times New Roman" w:hAnsi="Times New Roman" w:cs="Times New Roman"/>
          <w:i/>
          <w:sz w:val="18"/>
        </w:rPr>
        <w:t>hatases PP1 and PP2A. Legend: H-</w:t>
      </w:r>
      <w:r w:rsidRPr="00CD579E">
        <w:rPr>
          <w:rFonts w:ascii="Times New Roman" w:hAnsi="Times New Roman" w:cs="Times New Roman"/>
          <w:i/>
          <w:sz w:val="18"/>
        </w:rPr>
        <w:t>hepatocyte; SC</w:t>
      </w:r>
      <w:r>
        <w:rPr>
          <w:rFonts w:ascii="Times New Roman" w:hAnsi="Times New Roman" w:cs="Times New Roman"/>
          <w:i/>
          <w:sz w:val="18"/>
        </w:rPr>
        <w:t>–Sinusoidal capillary; MC–</w:t>
      </w:r>
      <w:proofErr w:type="spellStart"/>
      <w:r>
        <w:rPr>
          <w:rFonts w:ascii="Times New Roman" w:hAnsi="Times New Roman" w:cs="Times New Roman"/>
          <w:i/>
          <w:sz w:val="18"/>
        </w:rPr>
        <w:t>microcystins</w:t>
      </w:r>
      <w:proofErr w:type="spellEnd"/>
      <w:r>
        <w:rPr>
          <w:rFonts w:ascii="Times New Roman" w:hAnsi="Times New Roman" w:cs="Times New Roman"/>
          <w:i/>
          <w:sz w:val="18"/>
        </w:rPr>
        <w:t>; OH–hydroxyl group; P–phosphate group; PP1–protein phosphatase 1; PP2–</w:t>
      </w:r>
      <w:r w:rsidRPr="00CD579E">
        <w:rPr>
          <w:rFonts w:ascii="Times New Roman" w:hAnsi="Times New Roman" w:cs="Times New Roman"/>
          <w:i/>
          <w:sz w:val="18"/>
        </w:rPr>
        <w:t>protein phosphatase 2.</w:t>
      </w:r>
    </w:p>
    <w:p w:rsidR="00CD579E" w:rsidRPr="00A766C4" w:rsidRDefault="00CD579E" w:rsidP="00CD579E">
      <w:pPr>
        <w:rPr>
          <w:rFonts w:ascii="Times New Roman" w:hAnsi="Times New Roman" w:cs="Times New Roman"/>
          <w:b/>
          <w:sz w:val="24"/>
        </w:rPr>
      </w:pPr>
      <w:r w:rsidRPr="00A766C4">
        <w:rPr>
          <w:rFonts w:ascii="Times New Roman" w:hAnsi="Times New Roman" w:cs="Times New Roman"/>
          <w:b/>
          <w:sz w:val="24"/>
        </w:rPr>
        <w:t>Biography</w:t>
      </w:r>
    </w:p>
    <w:p w:rsidR="00CD579E" w:rsidRPr="00CD579E" w:rsidRDefault="00A766C4" w:rsidP="00CD579E">
      <w:pPr>
        <w:jc w:val="both"/>
        <w:rPr>
          <w:rFonts w:ascii="Times New Roman" w:hAnsi="Times New Roman" w:cs="Times New Roman"/>
          <w:sz w:val="20"/>
        </w:rPr>
      </w:pPr>
      <w:proofErr w:type="spellStart"/>
      <w:r w:rsidRPr="00A766C4">
        <w:rPr>
          <w:rFonts w:ascii="Times New Roman" w:hAnsi="Times New Roman" w:cs="Times New Roman"/>
          <w:sz w:val="20"/>
        </w:rPr>
        <w:t>Ghazwan</w:t>
      </w:r>
      <w:proofErr w:type="spellEnd"/>
      <w:r w:rsidRPr="00A766C4">
        <w:rPr>
          <w:rFonts w:ascii="Times New Roman" w:hAnsi="Times New Roman" w:cs="Times New Roman"/>
          <w:sz w:val="20"/>
        </w:rPr>
        <w:t xml:space="preserve"> Ahmed M. </w:t>
      </w:r>
      <w:proofErr w:type="spellStart"/>
      <w:r w:rsidRPr="00A766C4">
        <w:rPr>
          <w:rFonts w:ascii="Times New Roman" w:hAnsi="Times New Roman" w:cs="Times New Roman"/>
          <w:sz w:val="20"/>
        </w:rPr>
        <w:t>Raouf</w:t>
      </w:r>
      <w:proofErr w:type="spellEnd"/>
      <w:r>
        <w:rPr>
          <w:rFonts w:ascii="Times New Roman" w:hAnsi="Times New Roman" w:cs="Times New Roman"/>
          <w:sz w:val="20"/>
        </w:rPr>
        <w:t xml:space="preserve"> is the </w:t>
      </w:r>
      <w:r w:rsidRPr="00A766C4">
        <w:rPr>
          <w:rFonts w:ascii="Times New Roman" w:hAnsi="Times New Roman" w:cs="Times New Roman"/>
          <w:sz w:val="20"/>
        </w:rPr>
        <w:t>Deputy Dean/L</w:t>
      </w:r>
      <w:r>
        <w:rPr>
          <w:rFonts w:ascii="Times New Roman" w:hAnsi="Times New Roman" w:cs="Times New Roman"/>
          <w:sz w:val="20"/>
        </w:rPr>
        <w:t>ecturer at College of Pharmacy-</w:t>
      </w:r>
      <w:r w:rsidRPr="00A766C4">
        <w:rPr>
          <w:rFonts w:ascii="Times New Roman" w:hAnsi="Times New Roman" w:cs="Times New Roman"/>
          <w:sz w:val="20"/>
        </w:rPr>
        <w:t xml:space="preserve">University of </w:t>
      </w:r>
      <w:proofErr w:type="spellStart"/>
      <w:r w:rsidRPr="00A766C4">
        <w:rPr>
          <w:rFonts w:ascii="Times New Roman" w:hAnsi="Times New Roman" w:cs="Times New Roman"/>
          <w:sz w:val="20"/>
        </w:rPr>
        <w:t>Duhok</w:t>
      </w:r>
      <w:proofErr w:type="spellEnd"/>
      <w:r w:rsidRPr="00A766C4">
        <w:rPr>
          <w:rFonts w:ascii="Times New Roman" w:hAnsi="Times New Roman" w:cs="Times New Roman"/>
          <w:sz w:val="20"/>
        </w:rPr>
        <w:t xml:space="preserve"> (UOD). </w:t>
      </w:r>
      <w:r>
        <w:rPr>
          <w:rFonts w:ascii="Times New Roman" w:hAnsi="Times New Roman" w:cs="Times New Roman"/>
          <w:sz w:val="20"/>
        </w:rPr>
        <w:t xml:space="preserve">He is </w:t>
      </w:r>
      <w:r w:rsidRPr="00A766C4">
        <w:rPr>
          <w:rFonts w:ascii="Times New Roman" w:hAnsi="Times New Roman" w:cs="Times New Roman"/>
          <w:sz w:val="20"/>
        </w:rPr>
        <w:t xml:space="preserve">Clinical Laboratory Director at </w:t>
      </w:r>
      <w:proofErr w:type="spellStart"/>
      <w:r w:rsidRPr="00A766C4">
        <w:rPr>
          <w:rFonts w:ascii="Times New Roman" w:hAnsi="Times New Roman" w:cs="Times New Roman"/>
          <w:sz w:val="20"/>
        </w:rPr>
        <w:t>Lalav</w:t>
      </w:r>
      <w:proofErr w:type="spellEnd"/>
      <w:r w:rsidRPr="00A766C4">
        <w:rPr>
          <w:rFonts w:ascii="Times New Roman" w:hAnsi="Times New Roman" w:cs="Times New Roman"/>
          <w:sz w:val="20"/>
        </w:rPr>
        <w:t xml:space="preserve"> Hospital for Coronavirus and Infectious Diseases-</w:t>
      </w:r>
      <w:proofErr w:type="spellStart"/>
      <w:r w:rsidRPr="00A766C4">
        <w:rPr>
          <w:rFonts w:ascii="Times New Roman" w:hAnsi="Times New Roman" w:cs="Times New Roman"/>
          <w:sz w:val="20"/>
        </w:rPr>
        <w:t>Duhok</w:t>
      </w:r>
      <w:proofErr w:type="spellEnd"/>
      <w:r w:rsidRPr="00A766C4">
        <w:rPr>
          <w:rFonts w:ascii="Times New Roman" w:hAnsi="Times New Roman" w:cs="Times New Roman"/>
          <w:sz w:val="20"/>
        </w:rPr>
        <w:t xml:space="preserve">. </w:t>
      </w:r>
      <w:r>
        <w:rPr>
          <w:rFonts w:ascii="Times New Roman" w:hAnsi="Times New Roman" w:cs="Times New Roman"/>
          <w:sz w:val="20"/>
        </w:rPr>
        <w:t xml:space="preserve">He is a PhD </w:t>
      </w:r>
      <w:proofErr w:type="spellStart"/>
      <w:r>
        <w:rPr>
          <w:rFonts w:ascii="Times New Roman" w:hAnsi="Times New Roman" w:cs="Times New Roman"/>
          <w:sz w:val="20"/>
        </w:rPr>
        <w:t>Candidate-ERASMUS+Mobility</w:t>
      </w:r>
      <w:proofErr w:type="spellEnd"/>
      <w:r>
        <w:rPr>
          <w:rFonts w:ascii="Times New Roman" w:hAnsi="Times New Roman" w:cs="Times New Roman"/>
          <w:sz w:val="20"/>
        </w:rPr>
        <w:t xml:space="preserve"> </w:t>
      </w:r>
      <w:proofErr w:type="spellStart"/>
      <w:r>
        <w:rPr>
          <w:rFonts w:ascii="Times New Roman" w:hAnsi="Times New Roman" w:cs="Times New Roman"/>
          <w:sz w:val="20"/>
        </w:rPr>
        <w:t>Programme</w:t>
      </w:r>
      <w:proofErr w:type="spellEnd"/>
      <w:r>
        <w:rPr>
          <w:rFonts w:ascii="Times New Roman" w:hAnsi="Times New Roman" w:cs="Times New Roman"/>
          <w:sz w:val="20"/>
        </w:rPr>
        <w:t xml:space="preserve"> in</w:t>
      </w:r>
      <w:r w:rsidRPr="00A766C4">
        <w:rPr>
          <w:rFonts w:ascii="Times New Roman" w:hAnsi="Times New Roman" w:cs="Times New Roman"/>
          <w:sz w:val="20"/>
        </w:rPr>
        <w:t xml:space="preserve"> </w:t>
      </w:r>
      <w:proofErr w:type="spellStart"/>
      <w:r w:rsidRPr="00A766C4">
        <w:rPr>
          <w:rFonts w:ascii="Times New Roman" w:hAnsi="Times New Roman" w:cs="Times New Roman"/>
          <w:sz w:val="20"/>
        </w:rPr>
        <w:t>Università</w:t>
      </w:r>
      <w:proofErr w:type="spellEnd"/>
      <w:r w:rsidRPr="00A766C4">
        <w:rPr>
          <w:rFonts w:ascii="Times New Roman" w:hAnsi="Times New Roman" w:cs="Times New Roman"/>
          <w:sz w:val="20"/>
        </w:rPr>
        <w:t xml:space="preserve"> </w:t>
      </w:r>
      <w:proofErr w:type="spellStart"/>
      <w:r w:rsidRPr="00A766C4">
        <w:rPr>
          <w:rFonts w:ascii="Times New Roman" w:hAnsi="Times New Roman" w:cs="Times New Roman"/>
          <w:sz w:val="20"/>
        </w:rPr>
        <w:t>degli</w:t>
      </w:r>
      <w:proofErr w:type="spellEnd"/>
      <w:r w:rsidRPr="00A766C4">
        <w:rPr>
          <w:rFonts w:ascii="Times New Roman" w:hAnsi="Times New Roman" w:cs="Times New Roman"/>
          <w:sz w:val="20"/>
        </w:rPr>
        <w:t xml:space="preserve"> </w:t>
      </w:r>
      <w:proofErr w:type="spellStart"/>
      <w:r w:rsidRPr="00A766C4">
        <w:rPr>
          <w:rFonts w:ascii="Times New Roman" w:hAnsi="Times New Roman" w:cs="Times New Roman"/>
          <w:sz w:val="20"/>
        </w:rPr>
        <w:t>Studi</w:t>
      </w:r>
      <w:proofErr w:type="spellEnd"/>
      <w:r w:rsidRPr="00A766C4">
        <w:rPr>
          <w:rFonts w:ascii="Times New Roman" w:hAnsi="Times New Roman" w:cs="Times New Roman"/>
          <w:sz w:val="20"/>
        </w:rPr>
        <w:t xml:space="preserve"> </w:t>
      </w:r>
      <w:proofErr w:type="spellStart"/>
      <w:proofErr w:type="gramStart"/>
      <w:r w:rsidRPr="00A766C4">
        <w:rPr>
          <w:rFonts w:ascii="Times New Roman" w:hAnsi="Times New Roman" w:cs="Times New Roman"/>
          <w:sz w:val="20"/>
        </w:rPr>
        <w:t>della</w:t>
      </w:r>
      <w:proofErr w:type="spellEnd"/>
      <w:proofErr w:type="gramEnd"/>
      <w:r w:rsidRPr="00A766C4">
        <w:rPr>
          <w:rFonts w:ascii="Times New Roman" w:hAnsi="Times New Roman" w:cs="Times New Roman"/>
          <w:sz w:val="20"/>
        </w:rPr>
        <w:t xml:space="preserve"> </w:t>
      </w:r>
      <w:proofErr w:type="spellStart"/>
      <w:r w:rsidRPr="00A766C4">
        <w:rPr>
          <w:rFonts w:ascii="Times New Roman" w:hAnsi="Times New Roman" w:cs="Times New Roman"/>
          <w:sz w:val="20"/>
        </w:rPr>
        <w:t>Tuscia</w:t>
      </w:r>
      <w:proofErr w:type="spellEnd"/>
      <w:r w:rsidRPr="00A766C4">
        <w:rPr>
          <w:rFonts w:ascii="Times New Roman" w:hAnsi="Times New Roman" w:cs="Times New Roman"/>
          <w:sz w:val="20"/>
        </w:rPr>
        <w:t>-</w:t>
      </w:r>
      <w:proofErr w:type="spellStart"/>
      <w:r w:rsidRPr="00A766C4">
        <w:rPr>
          <w:rFonts w:ascii="Times New Roman" w:hAnsi="Times New Roman" w:cs="Times New Roman"/>
          <w:sz w:val="20"/>
        </w:rPr>
        <w:t>Viterbo</w:t>
      </w:r>
      <w:proofErr w:type="spellEnd"/>
      <w:r w:rsidRPr="00A766C4">
        <w:rPr>
          <w:rFonts w:ascii="Times New Roman" w:hAnsi="Times New Roman" w:cs="Times New Roman"/>
          <w:sz w:val="20"/>
        </w:rPr>
        <w:t>-Italy.</w:t>
      </w:r>
      <w:bookmarkEnd w:id="0"/>
    </w:p>
    <w:sectPr w:rsidR="00CD579E" w:rsidRPr="00CD5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79E"/>
    <w:rsid w:val="00335456"/>
    <w:rsid w:val="00474203"/>
    <w:rsid w:val="00535872"/>
    <w:rsid w:val="00924B33"/>
    <w:rsid w:val="00A766C4"/>
    <w:rsid w:val="00B129B1"/>
    <w:rsid w:val="00CD5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5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5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35934">
      <w:bodyDiv w:val="1"/>
      <w:marLeft w:val="0"/>
      <w:marRight w:val="0"/>
      <w:marTop w:val="0"/>
      <w:marBottom w:val="0"/>
      <w:divBdr>
        <w:top w:val="none" w:sz="0" w:space="0" w:color="auto"/>
        <w:left w:val="none" w:sz="0" w:space="0" w:color="auto"/>
        <w:bottom w:val="none" w:sz="0" w:space="0" w:color="auto"/>
        <w:right w:val="none" w:sz="0" w:space="0" w:color="auto"/>
      </w:divBdr>
      <w:divsChild>
        <w:div w:id="1054350111">
          <w:marLeft w:val="0"/>
          <w:marRight w:val="0"/>
          <w:marTop w:val="0"/>
          <w:marBottom w:val="60"/>
          <w:divBdr>
            <w:top w:val="none" w:sz="0" w:space="0" w:color="auto"/>
            <w:left w:val="none" w:sz="0" w:space="0" w:color="auto"/>
            <w:bottom w:val="none" w:sz="0" w:space="0" w:color="auto"/>
            <w:right w:val="none" w:sz="0" w:space="0" w:color="auto"/>
          </w:divBdr>
          <w:divsChild>
            <w:div w:id="1967082099">
              <w:marLeft w:val="0"/>
              <w:marRight w:val="0"/>
              <w:marTop w:val="0"/>
              <w:marBottom w:val="0"/>
              <w:divBdr>
                <w:top w:val="none" w:sz="0" w:space="0" w:color="auto"/>
                <w:left w:val="none" w:sz="0" w:space="0" w:color="auto"/>
                <w:bottom w:val="none" w:sz="0" w:space="0" w:color="auto"/>
                <w:right w:val="none" w:sz="0" w:space="0" w:color="auto"/>
              </w:divBdr>
              <w:divsChild>
                <w:div w:id="1113280177">
                  <w:marLeft w:val="0"/>
                  <w:marRight w:val="0"/>
                  <w:marTop w:val="0"/>
                  <w:marBottom w:val="0"/>
                  <w:divBdr>
                    <w:top w:val="none" w:sz="0" w:space="0" w:color="auto"/>
                    <w:left w:val="none" w:sz="0" w:space="0" w:color="auto"/>
                    <w:bottom w:val="none" w:sz="0" w:space="0" w:color="auto"/>
                    <w:right w:val="none" w:sz="0" w:space="0" w:color="auto"/>
                  </w:divBdr>
                  <w:divsChild>
                    <w:div w:id="881090765">
                      <w:marLeft w:val="0"/>
                      <w:marRight w:val="150"/>
                      <w:marTop w:val="30"/>
                      <w:marBottom w:val="0"/>
                      <w:divBdr>
                        <w:top w:val="none" w:sz="0" w:space="0" w:color="auto"/>
                        <w:left w:val="none" w:sz="0" w:space="0" w:color="auto"/>
                        <w:bottom w:val="none" w:sz="0" w:space="0" w:color="auto"/>
                        <w:right w:val="none" w:sz="0" w:space="0" w:color="auto"/>
                      </w:divBdr>
                      <w:divsChild>
                        <w:div w:id="618803001">
                          <w:marLeft w:val="0"/>
                          <w:marRight w:val="0"/>
                          <w:marTop w:val="0"/>
                          <w:marBottom w:val="0"/>
                          <w:divBdr>
                            <w:top w:val="none" w:sz="0" w:space="0" w:color="auto"/>
                            <w:left w:val="none" w:sz="0" w:space="0" w:color="auto"/>
                            <w:bottom w:val="none" w:sz="0" w:space="0" w:color="auto"/>
                            <w:right w:val="none" w:sz="0" w:space="0" w:color="auto"/>
                          </w:divBdr>
                        </w:div>
                      </w:divsChild>
                    </w:div>
                    <w:div w:id="1084957130">
                      <w:marLeft w:val="0"/>
                      <w:marRight w:val="150"/>
                      <w:marTop w:val="30"/>
                      <w:marBottom w:val="0"/>
                      <w:divBdr>
                        <w:top w:val="none" w:sz="0" w:space="0" w:color="auto"/>
                        <w:left w:val="none" w:sz="0" w:space="0" w:color="auto"/>
                        <w:bottom w:val="none" w:sz="0" w:space="0" w:color="auto"/>
                        <w:right w:val="none" w:sz="0" w:space="0" w:color="auto"/>
                      </w:divBdr>
                      <w:divsChild>
                        <w:div w:id="2117940106">
                          <w:marLeft w:val="0"/>
                          <w:marRight w:val="0"/>
                          <w:marTop w:val="0"/>
                          <w:marBottom w:val="0"/>
                          <w:divBdr>
                            <w:top w:val="none" w:sz="0" w:space="0" w:color="auto"/>
                            <w:left w:val="none" w:sz="0" w:space="0" w:color="auto"/>
                            <w:bottom w:val="none" w:sz="0" w:space="0" w:color="auto"/>
                            <w:right w:val="none" w:sz="0" w:space="0" w:color="auto"/>
                          </w:divBdr>
                        </w:div>
                      </w:divsChild>
                    </w:div>
                    <w:div w:id="1945575491">
                      <w:marLeft w:val="0"/>
                      <w:marRight w:val="0"/>
                      <w:marTop w:val="0"/>
                      <w:marBottom w:val="0"/>
                      <w:divBdr>
                        <w:top w:val="none" w:sz="0" w:space="0" w:color="auto"/>
                        <w:left w:val="none" w:sz="0" w:space="0" w:color="auto"/>
                        <w:bottom w:val="none" w:sz="0" w:space="0" w:color="auto"/>
                        <w:right w:val="none" w:sz="0" w:space="0" w:color="auto"/>
                      </w:divBdr>
                      <w:divsChild>
                        <w:div w:id="1586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2022-12-20T08:52:00Z</dcterms:created>
  <dcterms:modified xsi:type="dcterms:W3CDTF">2022-12-20T09:24:00Z</dcterms:modified>
</cp:coreProperties>
</file>