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11"/>
        <w:rPr>
          <w:sz w:val="23"/>
        </w:rPr>
      </w:pPr>
    </w:p>
    <w:p>
      <w:pPr>
        <w:pStyle w:val="Heading1"/>
        <w:spacing w:line="237" w:lineRule="auto" w:before="91"/>
        <w:ind w:left="3291" w:right="3159" w:hanging="11"/>
        <w:jc w:val="left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532763</wp:posOffset>
            </wp:positionH>
            <wp:positionV relativeFrom="paragraph">
              <wp:posOffset>-57554</wp:posOffset>
            </wp:positionV>
            <wp:extent cx="1612899" cy="727556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2899" cy="7275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5705859</wp:posOffset>
            </wp:positionH>
            <wp:positionV relativeFrom="paragraph">
              <wp:posOffset>-173126</wp:posOffset>
            </wp:positionV>
            <wp:extent cx="865134" cy="840740"/>
            <wp:effectExtent l="0" t="0" r="0" b="0"/>
            <wp:wrapNone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5134" cy="840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PhD Candidate at ERASMUS+</w:t>
      </w:r>
      <w:r>
        <w:rPr>
          <w:spacing w:val="-77"/>
        </w:rPr>
        <w:t> </w:t>
      </w:r>
      <w:r>
        <w:rPr/>
        <w:t>Mobility</w:t>
      </w:r>
      <w:r>
        <w:rPr>
          <w:spacing w:val="-3"/>
        </w:rPr>
        <w:t> </w:t>
      </w:r>
      <w:r>
        <w:rPr/>
        <w:t>Students</w:t>
      </w:r>
      <w:r>
        <w:rPr>
          <w:spacing w:val="-3"/>
        </w:rPr>
        <w:t> </w:t>
      </w:r>
      <w:r>
        <w:rPr/>
        <w:t>Programme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"/>
        <w:rPr>
          <w:b/>
          <w:sz w:val="16"/>
        </w:rPr>
      </w:pPr>
    </w:p>
    <w:p>
      <w:pPr>
        <w:spacing w:before="93"/>
        <w:ind w:left="328" w:right="320" w:firstLine="0"/>
        <w:jc w:val="center"/>
        <w:rPr>
          <w:sz w:val="20"/>
        </w:rPr>
      </w:pPr>
      <w:r>
        <w:rPr/>
        <w:pict>
          <v:rect style="position:absolute;margin-left:34.560001pt;margin-top:29.825918pt;width:526.080pt;height:1.44pt;mso-position-horizontal-relative:page;mso-position-vertical-relative:paragraph;z-index:-15728640;mso-wrap-distance-left:0;mso-wrap-distance-right:0" filled="true" fillcolor="#000000" stroked="false">
            <v:fill type="solid"/>
            <w10:wrap type="topAndBottom"/>
          </v:rect>
        </w:pict>
      </w:r>
      <w:r>
        <w:rPr>
          <w:sz w:val="20"/>
        </w:rPr>
        <w:t>Erasmus+ Programme–KA107 project n. 2020-1-IT02-KA107-078816, coordinated by the Università degli Studi della Tuscia</w:t>
      </w:r>
      <w:r>
        <w:rPr>
          <w:spacing w:val="-47"/>
          <w:sz w:val="20"/>
        </w:rPr>
        <w:t> </w:t>
      </w:r>
      <w:r>
        <w:rPr>
          <w:sz w:val="20"/>
        </w:rPr>
        <w:t>(Italia)</w:t>
      </w:r>
      <w:r>
        <w:rPr>
          <w:spacing w:val="-2"/>
          <w:sz w:val="20"/>
        </w:rPr>
        <w:t> </w:t>
      </w:r>
      <w:r>
        <w:rPr>
          <w:sz w:val="20"/>
        </w:rPr>
        <w:t>and</w:t>
      </w:r>
      <w:r>
        <w:rPr>
          <w:spacing w:val="-1"/>
          <w:sz w:val="20"/>
        </w:rPr>
        <w:t> </w:t>
      </w:r>
      <w:r>
        <w:rPr>
          <w:sz w:val="20"/>
        </w:rPr>
        <w:t>funded</w:t>
      </w:r>
      <w:r>
        <w:rPr>
          <w:spacing w:val="-1"/>
          <w:sz w:val="20"/>
        </w:rPr>
        <w:t> </w:t>
      </w:r>
      <w:r>
        <w:rPr>
          <w:sz w:val="20"/>
        </w:rPr>
        <w:t>by</w:t>
      </w:r>
      <w:r>
        <w:rPr>
          <w:spacing w:val="-1"/>
          <w:sz w:val="20"/>
        </w:rPr>
        <w:t> </w:t>
      </w:r>
      <w:r>
        <w:rPr>
          <w:sz w:val="20"/>
        </w:rPr>
        <w:t>the</w:t>
      </w:r>
      <w:r>
        <w:rPr>
          <w:spacing w:val="-1"/>
          <w:sz w:val="20"/>
        </w:rPr>
        <w:t> </w:t>
      </w:r>
      <w:r>
        <w:rPr>
          <w:sz w:val="20"/>
        </w:rPr>
        <w:t>European</w:t>
      </w:r>
      <w:r>
        <w:rPr>
          <w:spacing w:val="-1"/>
          <w:sz w:val="20"/>
        </w:rPr>
        <w:t> </w:t>
      </w:r>
      <w:r>
        <w:rPr>
          <w:sz w:val="20"/>
        </w:rPr>
        <w:t>Commission,</w:t>
      </w:r>
    </w:p>
    <w:p>
      <w:pPr>
        <w:pStyle w:val="Heading1"/>
        <w:spacing w:before="142"/>
      </w:pPr>
      <w:r>
        <w:rPr/>
        <w:t>Ph.D.</w:t>
      </w:r>
      <w:r>
        <w:rPr>
          <w:spacing w:val="-2"/>
        </w:rPr>
        <w:t> </w:t>
      </w:r>
      <w:r>
        <w:rPr/>
        <w:t>Proposal</w:t>
      </w:r>
      <w:r>
        <w:rPr>
          <w:spacing w:val="-2"/>
        </w:rPr>
        <w:t> </w:t>
      </w:r>
      <w:r>
        <w:rPr/>
        <w:t>Project</w:t>
      </w:r>
    </w:p>
    <w:p>
      <w:pPr>
        <w:pStyle w:val="Heading2"/>
        <w:ind w:left="328" w:right="173"/>
        <w:jc w:val="center"/>
      </w:pPr>
      <w:r>
        <w:rPr/>
        <w:t>(Dec.</w:t>
      </w:r>
      <w:r>
        <w:rPr>
          <w:spacing w:val="-2"/>
        </w:rPr>
        <w:t> </w:t>
      </w:r>
      <w:r>
        <w:rPr/>
        <w:t>19</w:t>
      </w:r>
      <w:r>
        <w:rPr>
          <w:vertAlign w:val="superscript"/>
        </w:rPr>
        <w:t>th</w:t>
      </w:r>
      <w:r>
        <w:rPr>
          <w:vertAlign w:val="baseline"/>
        </w:rPr>
        <w:t>,</w:t>
      </w:r>
      <w:r>
        <w:rPr>
          <w:spacing w:val="-1"/>
          <w:vertAlign w:val="baseline"/>
        </w:rPr>
        <w:t> </w:t>
      </w:r>
      <w:r>
        <w:rPr>
          <w:vertAlign w:val="baseline"/>
        </w:rPr>
        <w:t>2022)</w:t>
      </w:r>
    </w:p>
    <w:p>
      <w:pPr>
        <w:tabs>
          <w:tab w:pos="9859" w:val="left" w:leader="none"/>
        </w:tabs>
        <w:spacing w:before="6"/>
        <w:ind w:left="140" w:right="0" w:firstLine="0"/>
        <w:jc w:val="left"/>
        <w:rPr>
          <w:sz w:val="20"/>
        </w:rPr>
      </w:pPr>
      <w:r>
        <w:rPr>
          <w:sz w:val="20"/>
        </w:rPr>
        <w:t>Principle</w:t>
      </w:r>
      <w:r>
        <w:rPr>
          <w:spacing w:val="-3"/>
          <w:sz w:val="20"/>
        </w:rPr>
        <w:t> </w:t>
      </w:r>
      <w:r>
        <w:rPr>
          <w:sz w:val="20"/>
        </w:rPr>
        <w:t>Investigator:</w:t>
      </w:r>
      <w:r>
        <w:rPr>
          <w:spacing w:val="-2"/>
          <w:sz w:val="20"/>
        </w:rPr>
        <w:t> </w:t>
      </w:r>
      <w:r>
        <w:rPr>
          <w:sz w:val="20"/>
        </w:rPr>
        <w:t>Ghazwan</w:t>
      </w:r>
      <w:r>
        <w:rPr>
          <w:spacing w:val="-2"/>
          <w:sz w:val="20"/>
        </w:rPr>
        <w:t> </w:t>
      </w:r>
      <w:r>
        <w:rPr>
          <w:sz w:val="20"/>
        </w:rPr>
        <w:t>Ahmed</w:t>
      </w:r>
      <w:r>
        <w:rPr>
          <w:spacing w:val="-2"/>
          <w:sz w:val="20"/>
        </w:rPr>
        <w:t> </w:t>
      </w:r>
      <w:r>
        <w:rPr>
          <w:sz w:val="20"/>
        </w:rPr>
        <w:t>M.</w:t>
      </w:r>
      <w:r>
        <w:rPr>
          <w:spacing w:val="-2"/>
          <w:sz w:val="20"/>
        </w:rPr>
        <w:t> </w:t>
      </w:r>
      <w:r>
        <w:rPr>
          <w:sz w:val="20"/>
        </w:rPr>
        <w:t>Raouf-</w:t>
      </w:r>
      <w:r>
        <w:rPr>
          <w:spacing w:val="-3"/>
          <w:sz w:val="20"/>
        </w:rPr>
        <w:t> </w:t>
      </w:r>
      <w:r>
        <w:rPr>
          <w:sz w:val="20"/>
        </w:rPr>
        <w:t>Ph.D.</w:t>
      </w:r>
      <w:r>
        <w:rPr>
          <w:spacing w:val="-2"/>
          <w:sz w:val="20"/>
        </w:rPr>
        <w:t> </w:t>
      </w:r>
      <w:r>
        <w:rPr>
          <w:sz w:val="20"/>
        </w:rPr>
        <w:t>Student</w:t>
      </w:r>
      <w:r>
        <w:rPr>
          <w:spacing w:val="-2"/>
          <w:sz w:val="20"/>
        </w:rPr>
        <w:t> </w:t>
      </w:r>
      <w:r>
        <w:rPr>
          <w:sz w:val="20"/>
        </w:rPr>
        <w:t>in</w:t>
      </w:r>
      <w:r>
        <w:rPr>
          <w:spacing w:val="-2"/>
          <w:sz w:val="20"/>
        </w:rPr>
        <w:t> </w:t>
      </w:r>
      <w:r>
        <w:rPr>
          <w:sz w:val="20"/>
        </w:rPr>
        <w:t>Toxicology,</w:t>
      </w:r>
      <w:r>
        <w:rPr>
          <w:spacing w:val="-2"/>
          <w:sz w:val="20"/>
        </w:rPr>
        <w:t> </w:t>
      </w:r>
      <w:r>
        <w:rPr>
          <w:sz w:val="20"/>
        </w:rPr>
        <w:t>Prof.</w:t>
      </w:r>
      <w:r>
        <w:rPr>
          <w:spacing w:val="-3"/>
          <w:sz w:val="20"/>
        </w:rPr>
        <w:t> </w:t>
      </w:r>
      <w:r>
        <w:rPr>
          <w:sz w:val="20"/>
        </w:rPr>
        <w:t>(</w:t>
        <w:tab/>
        <w:t>).</w:t>
      </w:r>
    </w:p>
    <w:p>
      <w:pPr>
        <w:pStyle w:val="BodyText"/>
        <w:spacing w:before="1"/>
        <w:rPr>
          <w:sz w:val="20"/>
        </w:rPr>
      </w:pPr>
    </w:p>
    <w:p>
      <w:pPr>
        <w:spacing w:before="0"/>
        <w:ind w:left="140" w:right="0" w:firstLine="0"/>
        <w:jc w:val="left"/>
        <w:rPr>
          <w:b/>
          <w:sz w:val="18"/>
        </w:rPr>
      </w:pPr>
      <w:r>
        <w:rPr>
          <w:b/>
          <w:sz w:val="18"/>
        </w:rPr>
        <w:t>Project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Title:</w:t>
      </w:r>
    </w:p>
    <w:p>
      <w:pPr>
        <w:pStyle w:val="BodyText"/>
        <w:spacing w:before="11"/>
        <w:rPr>
          <w:b/>
          <w:sz w:val="21"/>
        </w:rPr>
      </w:pPr>
    </w:p>
    <w:p>
      <w:pPr>
        <w:pStyle w:val="Heading1"/>
        <w:spacing w:line="278" w:lineRule="auto"/>
        <w:ind w:left="328"/>
      </w:pPr>
      <w:r>
        <w:rPr/>
        <w:t>Toxic impacts of SARS-CoV-2 variants and anti-viral potential effects in</w:t>
      </w:r>
      <w:r>
        <w:rPr>
          <w:spacing w:val="-77"/>
        </w:rPr>
        <w:t> </w:t>
      </w:r>
      <w:r>
        <w:rPr/>
        <w:t>hospitalized</w:t>
      </w:r>
      <w:r>
        <w:rPr>
          <w:spacing w:val="-2"/>
        </w:rPr>
        <w:t> </w:t>
      </w:r>
      <w:r>
        <w:rPr/>
        <w:t>patients</w:t>
      </w:r>
      <w:r>
        <w:rPr>
          <w:spacing w:val="-1"/>
        </w:rPr>
        <w:t> </w:t>
      </w:r>
      <w:r>
        <w:rPr/>
        <w:t>in</w:t>
      </w:r>
      <w:r>
        <w:rPr>
          <w:spacing w:val="-2"/>
        </w:rPr>
        <w:t> </w:t>
      </w:r>
      <w:r>
        <w:rPr/>
        <w:t>Duhok</w:t>
      </w:r>
      <w:r>
        <w:rPr>
          <w:spacing w:val="-1"/>
        </w:rPr>
        <w:t> </w:t>
      </w:r>
      <w:r>
        <w:rPr/>
        <w:t>Province-Kurdistan</w:t>
      </w:r>
      <w:r>
        <w:rPr>
          <w:spacing w:val="-2"/>
        </w:rPr>
        <w:t> </w:t>
      </w:r>
      <w:r>
        <w:rPr/>
        <w:t>Region</w:t>
      </w:r>
    </w:p>
    <w:p>
      <w:pPr>
        <w:pStyle w:val="BodyText"/>
        <w:spacing w:line="360" w:lineRule="auto" w:before="272"/>
        <w:ind w:left="140" w:right="131"/>
        <w:jc w:val="both"/>
      </w:pPr>
      <w:r>
        <w:rPr/>
        <w:t>The coronavirus disease 2019 (COVID-19) pandemic was caused by a novel coronavirus the well-known</w:t>
      </w:r>
      <w:r>
        <w:rPr>
          <w:spacing w:val="1"/>
        </w:rPr>
        <w:t> </w:t>
      </w:r>
      <w:r>
        <w:rPr/>
        <w:t>severe acute respiratory syndrome coronavirus 2 (SARS-CoV-2) that emerged in 2019, the crisis that didn’t</w:t>
      </w:r>
      <w:r>
        <w:rPr>
          <w:spacing w:val="1"/>
        </w:rPr>
        <w:t> </w:t>
      </w:r>
      <w:r>
        <w:rPr/>
        <w:t>respond</w:t>
      </w:r>
      <w:r>
        <w:rPr>
          <w:spacing w:val="-9"/>
        </w:rPr>
        <w:t> </w:t>
      </w:r>
      <w:r>
        <w:rPr/>
        <w:t>to</w:t>
      </w:r>
      <w:r>
        <w:rPr>
          <w:spacing w:val="-8"/>
        </w:rPr>
        <w:t> </w:t>
      </w:r>
      <w:r>
        <w:rPr/>
        <w:t>standards</w:t>
      </w:r>
      <w:r>
        <w:rPr>
          <w:spacing w:val="-9"/>
        </w:rPr>
        <w:t> </w:t>
      </w:r>
      <w:r>
        <w:rPr/>
        <w:t>of</w:t>
      </w:r>
      <w:r>
        <w:rPr>
          <w:spacing w:val="-8"/>
        </w:rPr>
        <w:t> </w:t>
      </w:r>
      <w:r>
        <w:rPr/>
        <w:t>care</w:t>
      </w:r>
      <w:r>
        <w:rPr>
          <w:spacing w:val="-9"/>
        </w:rPr>
        <w:t> </w:t>
      </w:r>
      <w:r>
        <w:rPr/>
        <w:t>over</w:t>
      </w:r>
      <w:r>
        <w:rPr>
          <w:spacing w:val="-8"/>
        </w:rPr>
        <w:t> </w:t>
      </w:r>
      <w:r>
        <w:rPr/>
        <w:t>the</w:t>
      </w:r>
      <w:r>
        <w:rPr>
          <w:spacing w:val="-9"/>
        </w:rPr>
        <w:t> </w:t>
      </w:r>
      <w:r>
        <w:rPr/>
        <w:t>world</w:t>
      </w:r>
      <w:r>
        <w:rPr>
          <w:spacing w:val="-8"/>
        </w:rPr>
        <w:t> </w:t>
      </w:r>
      <w:r>
        <w:rPr/>
        <w:t>including</w:t>
      </w:r>
      <w:r>
        <w:rPr>
          <w:spacing w:val="-9"/>
        </w:rPr>
        <w:t> </w:t>
      </w:r>
      <w:r>
        <w:rPr/>
        <w:t>well-developed</w:t>
      </w:r>
      <w:r>
        <w:rPr>
          <w:spacing w:val="-8"/>
        </w:rPr>
        <w:t> </w:t>
      </w:r>
      <w:r>
        <w:rPr/>
        <w:t>countries.</w:t>
      </w:r>
      <w:r>
        <w:rPr>
          <w:spacing w:val="-8"/>
        </w:rPr>
        <w:t> </w:t>
      </w:r>
      <w:r>
        <w:rPr/>
        <w:t>Clinicians</w:t>
      </w:r>
      <w:r>
        <w:rPr>
          <w:spacing w:val="-8"/>
        </w:rPr>
        <w:t> </w:t>
      </w:r>
      <w:r>
        <w:rPr/>
        <w:t>need</w:t>
      </w:r>
      <w:r>
        <w:rPr>
          <w:spacing w:val="-8"/>
        </w:rPr>
        <w:t> </w:t>
      </w:r>
      <w:r>
        <w:rPr/>
        <w:t>to</w:t>
      </w:r>
      <w:r>
        <w:rPr>
          <w:spacing w:val="-9"/>
        </w:rPr>
        <w:t> </w:t>
      </w:r>
      <w:r>
        <w:rPr/>
        <w:t>be</w:t>
      </w:r>
      <w:r>
        <w:rPr>
          <w:spacing w:val="-8"/>
        </w:rPr>
        <w:t> </w:t>
      </w:r>
      <w:r>
        <w:rPr/>
        <w:t>mindful</w:t>
      </w:r>
      <w:r>
        <w:rPr>
          <w:spacing w:val="-58"/>
        </w:rPr>
        <w:t> </w:t>
      </w:r>
      <w:r>
        <w:rPr/>
        <w:t>of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/>
        <w:t>toxicity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wide</w:t>
      </w:r>
      <w:r>
        <w:rPr>
          <w:spacing w:val="-5"/>
        </w:rPr>
        <w:t> </w:t>
      </w:r>
      <w:r>
        <w:rPr/>
        <w:t>variety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possibly</w:t>
      </w:r>
      <w:r>
        <w:rPr>
          <w:spacing w:val="-5"/>
        </w:rPr>
        <w:t> </w:t>
      </w:r>
      <w:r>
        <w:rPr/>
        <w:t>unfamiliar</w:t>
      </w:r>
      <w:r>
        <w:rPr>
          <w:spacing w:val="-5"/>
        </w:rPr>
        <w:t> </w:t>
      </w:r>
      <w:r>
        <w:rPr/>
        <w:t>substances</w:t>
      </w:r>
      <w:r>
        <w:rPr>
          <w:spacing w:val="-5"/>
        </w:rPr>
        <w:t> </w:t>
      </w:r>
      <w:r>
        <w:rPr/>
        <w:t>being</w:t>
      </w:r>
      <w:r>
        <w:rPr>
          <w:spacing w:val="-5"/>
        </w:rPr>
        <w:t> </w:t>
      </w:r>
      <w:r>
        <w:rPr/>
        <w:t>tested</w:t>
      </w:r>
      <w:r>
        <w:rPr>
          <w:spacing w:val="-5"/>
        </w:rPr>
        <w:t> </w:t>
      </w:r>
      <w:r>
        <w:rPr/>
        <w:t>or</w:t>
      </w:r>
      <w:r>
        <w:rPr>
          <w:spacing w:val="-5"/>
        </w:rPr>
        <w:t> </w:t>
      </w:r>
      <w:r>
        <w:rPr/>
        <w:t>repurposed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treat</w:t>
      </w:r>
      <w:r>
        <w:rPr>
          <w:spacing w:val="-5"/>
        </w:rPr>
        <w:t> </w:t>
      </w:r>
      <w:r>
        <w:rPr/>
        <w:t>COVID-</w:t>
      </w:r>
    </w:p>
    <w:p>
      <w:pPr>
        <w:pStyle w:val="BodyText"/>
        <w:spacing w:line="360" w:lineRule="auto"/>
        <w:ind w:left="140" w:right="133"/>
        <w:jc w:val="both"/>
      </w:pPr>
      <w:r>
        <w:rPr/>
        <w:t>19</w:t>
      </w:r>
      <w:r>
        <w:rPr>
          <w:spacing w:val="1"/>
        </w:rPr>
        <w:t> </w:t>
      </w:r>
      <w:r>
        <w:rPr/>
        <w:t>including</w:t>
      </w:r>
      <w:r>
        <w:rPr>
          <w:spacing w:val="1"/>
        </w:rPr>
        <w:t> </w:t>
      </w:r>
      <w:r>
        <w:rPr/>
        <w:t>poly-pharmacy.</w:t>
      </w:r>
      <w:r>
        <w:rPr>
          <w:spacing w:val="1"/>
        </w:rPr>
        <w:t> </w:t>
      </w:r>
      <w:r>
        <w:rPr/>
        <w:t>Flu-like</w:t>
      </w:r>
      <w:r>
        <w:rPr>
          <w:spacing w:val="1"/>
        </w:rPr>
        <w:t> </w:t>
      </w:r>
      <w:r>
        <w:rPr/>
        <w:t>symptoms,</w:t>
      </w:r>
      <w:r>
        <w:rPr>
          <w:spacing w:val="1"/>
        </w:rPr>
        <w:t> </w:t>
      </w:r>
      <w:r>
        <w:rPr/>
        <w:t>were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most</w:t>
      </w:r>
      <w:r>
        <w:rPr>
          <w:spacing w:val="1"/>
        </w:rPr>
        <w:t> </w:t>
      </w:r>
      <w:r>
        <w:rPr/>
        <w:t>accompaniment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novel</w:t>
      </w:r>
      <w:r>
        <w:rPr>
          <w:spacing w:val="1"/>
        </w:rPr>
        <w:t> </w:t>
      </w:r>
      <w:r>
        <w:rPr/>
        <w:t>coronavirus</w:t>
      </w:r>
      <w:r>
        <w:rPr>
          <w:spacing w:val="1"/>
        </w:rPr>
        <w:t> </w:t>
      </w:r>
      <w:r>
        <w:rPr/>
        <w:t>infection, progressing in some cases to acute respiratory distress syndrome (ARDS) that eventually leads to</w:t>
      </w:r>
      <w:r>
        <w:rPr>
          <w:spacing w:val="1"/>
        </w:rPr>
        <w:t> </w:t>
      </w:r>
      <w:r>
        <w:rPr/>
        <w:t>death.</w:t>
      </w:r>
      <w:r>
        <w:rPr>
          <w:spacing w:val="1"/>
        </w:rPr>
        <w:t> </w:t>
      </w:r>
      <w:r>
        <w:rPr/>
        <w:t>Toxic</w:t>
      </w:r>
      <w:r>
        <w:rPr>
          <w:spacing w:val="1"/>
        </w:rPr>
        <w:t> </w:t>
      </w:r>
      <w:r>
        <w:rPr/>
        <w:t>impacts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coronavirus</w:t>
      </w:r>
      <w:r>
        <w:rPr>
          <w:spacing w:val="1"/>
        </w:rPr>
        <w:t> </w:t>
      </w:r>
      <w:r>
        <w:rPr/>
        <w:t>increase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probability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developing</w:t>
      </w:r>
      <w:r>
        <w:rPr>
          <w:spacing w:val="1"/>
        </w:rPr>
        <w:t> </w:t>
      </w:r>
      <w:r>
        <w:rPr/>
        <w:t>life-threatening</w:t>
      </w:r>
      <w:r>
        <w:rPr>
          <w:spacing w:val="1"/>
        </w:rPr>
        <w:t> </w:t>
      </w:r>
      <w:r>
        <w:rPr/>
        <w:t>systemic</w:t>
      </w:r>
      <w:r>
        <w:rPr>
          <w:spacing w:val="1"/>
        </w:rPr>
        <w:t> </w:t>
      </w:r>
      <w:r>
        <w:rPr/>
        <w:t>inflammatory syndromes called cytokine storms that suddenly deteriorate a patient's status to a severe or</w:t>
      </w:r>
      <w:r>
        <w:rPr>
          <w:spacing w:val="1"/>
        </w:rPr>
        <w:t> </w:t>
      </w:r>
      <w:r>
        <w:rPr/>
        <w:t>critical condition and might evoke oxidative stress, raising mortality rates. Oxidative stress can be measured</w:t>
      </w:r>
      <w:r>
        <w:rPr>
          <w:spacing w:val="1"/>
        </w:rPr>
        <w:t> </w:t>
      </w:r>
      <w:r>
        <w:rPr/>
        <w:t>indirectly by measuring DNA/RNA damage levels, lipid peroxidation, and protein oxidation/nitration, rather</w:t>
      </w:r>
      <w:r>
        <w:rPr>
          <w:spacing w:val="-57"/>
        </w:rPr>
        <w:t> </w:t>
      </w:r>
      <w:r>
        <w:rPr/>
        <w:t>than a direct measurement of reactive oxygen species. It has been confirmed that oxidative stress is involved</w:t>
      </w:r>
      <w:r>
        <w:rPr>
          <w:spacing w:val="-57"/>
        </w:rPr>
        <w:t> </w:t>
      </w:r>
      <w:r>
        <w:rPr>
          <w:spacing w:val="-1"/>
        </w:rPr>
        <w:t>in</w:t>
      </w:r>
      <w:r>
        <w:rPr>
          <w:spacing w:val="-15"/>
        </w:rPr>
        <w:t> </w:t>
      </w:r>
      <w:r>
        <w:rPr>
          <w:spacing w:val="-1"/>
        </w:rPr>
        <w:t>a</w:t>
      </w:r>
      <w:r>
        <w:rPr>
          <w:spacing w:val="-15"/>
        </w:rPr>
        <w:t> </w:t>
      </w:r>
      <w:r>
        <w:rPr>
          <w:spacing w:val="-1"/>
        </w:rPr>
        <w:t>variety</w:t>
      </w:r>
      <w:r>
        <w:rPr>
          <w:spacing w:val="-15"/>
        </w:rPr>
        <w:t> </w:t>
      </w:r>
      <w:r>
        <w:rPr>
          <w:spacing w:val="-1"/>
        </w:rPr>
        <w:t>of</w:t>
      </w:r>
      <w:r>
        <w:rPr>
          <w:spacing w:val="-15"/>
        </w:rPr>
        <w:t> </w:t>
      </w:r>
      <w:r>
        <w:rPr>
          <w:spacing w:val="-1"/>
        </w:rPr>
        <w:t>diseases,</w:t>
      </w:r>
      <w:r>
        <w:rPr>
          <w:spacing w:val="-14"/>
        </w:rPr>
        <w:t> </w:t>
      </w:r>
      <w:r>
        <w:rPr>
          <w:spacing w:val="-1"/>
        </w:rPr>
        <w:t>such</w:t>
      </w:r>
      <w:r>
        <w:rPr>
          <w:spacing w:val="-15"/>
        </w:rPr>
        <w:t> </w:t>
      </w:r>
      <w:r>
        <w:rPr>
          <w:spacing w:val="-1"/>
        </w:rPr>
        <w:t>as</w:t>
      </w:r>
      <w:r>
        <w:rPr>
          <w:spacing w:val="-15"/>
        </w:rPr>
        <w:t> </w:t>
      </w:r>
      <w:r>
        <w:rPr>
          <w:spacing w:val="-1"/>
        </w:rPr>
        <w:t>pneumonia,</w:t>
      </w:r>
      <w:r>
        <w:rPr>
          <w:spacing w:val="-15"/>
        </w:rPr>
        <w:t> </w:t>
      </w:r>
      <w:r>
        <w:rPr/>
        <w:t>pancreatitis,</w:t>
      </w:r>
      <w:r>
        <w:rPr>
          <w:spacing w:val="-15"/>
        </w:rPr>
        <w:t> </w:t>
      </w:r>
      <w:r>
        <w:rPr/>
        <w:t>diabetic</w:t>
      </w:r>
      <w:r>
        <w:rPr>
          <w:spacing w:val="-14"/>
        </w:rPr>
        <w:t> </w:t>
      </w:r>
      <w:r>
        <w:rPr/>
        <w:t>nephropathy,</w:t>
      </w:r>
      <w:r>
        <w:rPr>
          <w:spacing w:val="-15"/>
        </w:rPr>
        <w:t> </w:t>
      </w:r>
      <w:r>
        <w:rPr/>
        <w:t>cardiovascular</w:t>
      </w:r>
      <w:r>
        <w:rPr>
          <w:spacing w:val="-15"/>
        </w:rPr>
        <w:t> </w:t>
      </w:r>
      <w:r>
        <w:rPr/>
        <w:t>disease,</w:t>
      </w:r>
      <w:r>
        <w:rPr>
          <w:spacing w:val="-15"/>
        </w:rPr>
        <w:t> </w:t>
      </w:r>
      <w:r>
        <w:rPr/>
        <w:t>nervous</w:t>
      </w:r>
      <w:r>
        <w:rPr>
          <w:spacing w:val="-57"/>
        </w:rPr>
        <w:t> </w:t>
      </w:r>
      <w:r>
        <w:rPr/>
        <w:t>system disease, and cancer. Therefore, the total oxidant status (TOS) is usually used to estimate the overall</w:t>
      </w:r>
      <w:r>
        <w:rPr>
          <w:spacing w:val="1"/>
        </w:rPr>
        <w:t> </w:t>
      </w:r>
      <w:r>
        <w:rPr/>
        <w:t>oxidation state of the body. Similarly, total antioxidant capacity (TAC) is used to measure the overall</w:t>
      </w:r>
      <w:r>
        <w:rPr>
          <w:spacing w:val="1"/>
        </w:rPr>
        <w:t> </w:t>
      </w:r>
      <w:r>
        <w:rPr/>
        <w:t>antioxidant capacity of the body. The oxidative stress index (OSI), which is the ratio of TOS to TAS, might</w:t>
      </w:r>
      <w:r>
        <w:rPr>
          <w:spacing w:val="1"/>
        </w:rPr>
        <w:t> </w:t>
      </w:r>
      <w:r>
        <w:rPr/>
        <w:t>be a more precise index of oxidative stress in the body because it is a comprehensive measurement of total</w:t>
      </w:r>
      <w:r>
        <w:rPr>
          <w:spacing w:val="1"/>
        </w:rPr>
        <w:t> </w:t>
      </w:r>
      <w:r>
        <w:rPr/>
        <w:t>antioxidant status (TAS) and TOS. TOS, TAS, and OSI are oxidative stress parameters used to evaluate the</w:t>
      </w:r>
      <w:r>
        <w:rPr>
          <w:spacing w:val="1"/>
        </w:rPr>
        <w:t> </w:t>
      </w:r>
      <w:r>
        <w:rPr/>
        <w:t>overall oxidative stress status in the body tracking genetic variations from positive SARS-CoV-2 samples</w:t>
      </w:r>
      <w:r>
        <w:rPr>
          <w:spacing w:val="1"/>
        </w:rPr>
        <w:t> </w:t>
      </w:r>
      <w:r>
        <w:rPr/>
        <w:t>yield</w:t>
      </w:r>
      <w:r>
        <w:rPr>
          <w:spacing w:val="-3"/>
        </w:rPr>
        <w:t> </w:t>
      </w:r>
      <w:r>
        <w:rPr/>
        <w:t>crucial</w:t>
      </w:r>
      <w:r>
        <w:rPr>
          <w:spacing w:val="-3"/>
        </w:rPr>
        <w:t> </w:t>
      </w:r>
      <w:r>
        <w:rPr/>
        <w:t>information</w:t>
      </w:r>
      <w:r>
        <w:rPr>
          <w:spacing w:val="-2"/>
        </w:rPr>
        <w:t> </w:t>
      </w:r>
      <w:r>
        <w:rPr/>
        <w:t>about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number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variants</w:t>
      </w:r>
      <w:r>
        <w:rPr>
          <w:spacing w:val="-2"/>
        </w:rPr>
        <w:t> </w:t>
      </w:r>
      <w:r>
        <w:rPr/>
        <w:t>circulating</w:t>
      </w:r>
      <w:r>
        <w:rPr>
          <w:spacing w:val="-3"/>
        </w:rPr>
        <w:t> </w:t>
      </w:r>
      <w:r>
        <w:rPr/>
        <w:t>in</w:t>
      </w:r>
      <w:r>
        <w:rPr>
          <w:spacing w:val="-2"/>
        </w:rPr>
        <w:t> </w:t>
      </w:r>
      <w:r>
        <w:rPr/>
        <w:t>an</w:t>
      </w:r>
      <w:r>
        <w:rPr>
          <w:spacing w:val="-3"/>
        </w:rPr>
        <w:t> </w:t>
      </w:r>
      <w:r>
        <w:rPr/>
        <w:t>outbreak</w:t>
      </w:r>
      <w:r>
        <w:rPr>
          <w:spacing w:val="-2"/>
        </w:rPr>
        <w:t> </w:t>
      </w:r>
      <w:r>
        <w:rPr/>
        <w:t>related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severity</w:t>
      </w:r>
      <w:r>
        <w:rPr>
          <w:spacing w:val="-3"/>
        </w:rPr>
        <w:t> </w:t>
      </w:r>
      <w:r>
        <w:rPr/>
        <w:t>of</w:t>
      </w:r>
      <w:r>
        <w:rPr>
          <w:spacing w:val="-2"/>
        </w:rPr>
        <w:t> </w:t>
      </w:r>
      <w:r>
        <w:rPr/>
        <w:t>the</w:t>
      </w:r>
      <w:r>
        <w:rPr>
          <w:spacing w:val="-58"/>
        </w:rPr>
        <w:t> </w:t>
      </w:r>
      <w:r>
        <w:rPr/>
        <w:t>disease and the possible lines of transmission but sequencing every positive SARS-CoV-2 sample would be</w:t>
      </w:r>
      <w:r>
        <w:rPr>
          <w:spacing w:val="1"/>
        </w:rPr>
        <w:t> </w:t>
      </w:r>
      <w:r>
        <w:rPr/>
        <w:t>prohibitively</w:t>
      </w:r>
      <w:r>
        <w:rPr>
          <w:spacing w:val="-12"/>
        </w:rPr>
        <w:t> </w:t>
      </w:r>
      <w:r>
        <w:rPr/>
        <w:t>costly</w:t>
      </w:r>
      <w:r>
        <w:rPr>
          <w:spacing w:val="-12"/>
        </w:rPr>
        <w:t> </w:t>
      </w:r>
      <w:r>
        <w:rPr/>
        <w:t>for</w:t>
      </w:r>
      <w:r>
        <w:rPr>
          <w:spacing w:val="-11"/>
        </w:rPr>
        <w:t> </w:t>
      </w:r>
      <w:r>
        <w:rPr/>
        <w:t>population-scale</w:t>
      </w:r>
      <w:r>
        <w:rPr>
          <w:spacing w:val="-12"/>
        </w:rPr>
        <w:t> </w:t>
      </w:r>
      <w:r>
        <w:rPr/>
        <w:t>test</w:t>
      </w:r>
      <w:r>
        <w:rPr>
          <w:spacing w:val="-11"/>
        </w:rPr>
        <w:t> </w:t>
      </w:r>
      <w:r>
        <w:rPr/>
        <w:t>and</w:t>
      </w:r>
      <w:r>
        <w:rPr>
          <w:spacing w:val="-12"/>
        </w:rPr>
        <w:t> </w:t>
      </w:r>
      <w:r>
        <w:rPr/>
        <w:t>trace</w:t>
      </w:r>
      <w:r>
        <w:rPr>
          <w:spacing w:val="-11"/>
        </w:rPr>
        <w:t> </w:t>
      </w:r>
      <w:r>
        <w:rPr/>
        <w:t>operations.</w:t>
      </w:r>
      <w:r>
        <w:rPr>
          <w:spacing w:val="-12"/>
        </w:rPr>
        <w:t> </w:t>
      </w:r>
      <w:r>
        <w:rPr/>
        <w:t>Genotyping</w:t>
      </w:r>
      <w:r>
        <w:rPr>
          <w:spacing w:val="-11"/>
        </w:rPr>
        <w:t> </w:t>
      </w:r>
      <w:r>
        <w:rPr/>
        <w:t>is</w:t>
      </w:r>
      <w:r>
        <w:rPr>
          <w:spacing w:val="-12"/>
        </w:rPr>
        <w:t> </w:t>
      </w:r>
      <w:r>
        <w:rPr/>
        <w:t>a</w:t>
      </w:r>
      <w:r>
        <w:rPr>
          <w:spacing w:val="-11"/>
        </w:rPr>
        <w:t> </w:t>
      </w:r>
      <w:r>
        <w:rPr/>
        <w:t>rapid,</w:t>
      </w:r>
      <w:r>
        <w:rPr>
          <w:spacing w:val="-12"/>
        </w:rPr>
        <w:t> </w:t>
      </w:r>
      <w:r>
        <w:rPr/>
        <w:t>high-throughput,</w:t>
      </w:r>
      <w:r>
        <w:rPr>
          <w:spacing w:val="-11"/>
        </w:rPr>
        <w:t> </w:t>
      </w:r>
      <w:r>
        <w:rPr/>
        <w:t>and</w:t>
      </w:r>
      <w:r>
        <w:rPr>
          <w:spacing w:val="-58"/>
        </w:rPr>
        <w:t> </w:t>
      </w:r>
      <w:r>
        <w:rPr/>
        <w:t>low-cost</w:t>
      </w:r>
      <w:r>
        <w:rPr>
          <w:spacing w:val="1"/>
        </w:rPr>
        <w:t> </w:t>
      </w:r>
      <w:r>
        <w:rPr/>
        <w:t>alternative</w:t>
      </w:r>
      <w:r>
        <w:rPr>
          <w:spacing w:val="1"/>
        </w:rPr>
        <w:t> </w:t>
      </w:r>
      <w:r>
        <w:rPr/>
        <w:t>for</w:t>
      </w:r>
      <w:r>
        <w:rPr>
          <w:spacing w:val="1"/>
        </w:rPr>
        <w:t> </w:t>
      </w:r>
      <w:r>
        <w:rPr/>
        <w:t>screening</w:t>
      </w:r>
      <w:r>
        <w:rPr>
          <w:spacing w:val="1"/>
        </w:rPr>
        <w:t> </w:t>
      </w:r>
      <w:r>
        <w:rPr/>
        <w:t>positive</w:t>
      </w:r>
      <w:r>
        <w:rPr>
          <w:spacing w:val="1"/>
        </w:rPr>
        <w:t> </w:t>
      </w:r>
      <w:r>
        <w:rPr/>
        <w:t>SARS-CoV-2</w:t>
      </w:r>
      <w:r>
        <w:rPr>
          <w:spacing w:val="1"/>
        </w:rPr>
        <w:t> </w:t>
      </w:r>
      <w:r>
        <w:rPr/>
        <w:t>samples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many</w:t>
      </w:r>
      <w:r>
        <w:rPr>
          <w:spacing w:val="1"/>
        </w:rPr>
        <w:t> </w:t>
      </w:r>
      <w:r>
        <w:rPr/>
        <w:t>settings.</w:t>
      </w:r>
      <w:r>
        <w:rPr>
          <w:spacing w:val="1"/>
        </w:rPr>
        <w:t> </w:t>
      </w:r>
      <w:r>
        <w:rPr/>
        <w:t>Single-nucleotide</w:t>
      </w:r>
      <w:r>
        <w:rPr>
          <w:spacing w:val="1"/>
        </w:rPr>
        <w:t> </w:t>
      </w:r>
      <w:r>
        <w:rPr/>
        <w:t>polymorphism (SNP) identification pipeline isolated from coronavirus has been designed to identify genetic</w:t>
      </w:r>
      <w:r>
        <w:rPr>
          <w:spacing w:val="1"/>
        </w:rPr>
        <w:t> </w:t>
      </w:r>
      <w:r>
        <w:rPr/>
        <w:t>variation using sequenced SARS-CoV-2 samples. Pipeline identifies a minimal marker panel that can define</w:t>
      </w:r>
      <w:r>
        <w:rPr>
          <w:spacing w:val="1"/>
        </w:rPr>
        <w:t> </w:t>
      </w:r>
      <w:r>
        <w:rPr/>
        <w:t>distinct genotypes. This genotyping panel will be applied on 322 stored qRT-PCR positive SARS-CoV-2</w:t>
      </w:r>
      <w:r>
        <w:rPr>
          <w:spacing w:val="1"/>
        </w:rPr>
        <w:t> </w:t>
      </w:r>
      <w:r>
        <w:rPr/>
        <w:t>clinical</w:t>
      </w:r>
      <w:r>
        <w:rPr>
          <w:spacing w:val="5"/>
        </w:rPr>
        <w:t> </w:t>
      </w:r>
      <w:r>
        <w:rPr/>
        <w:t>samples</w:t>
      </w:r>
      <w:r>
        <w:rPr>
          <w:spacing w:val="5"/>
        </w:rPr>
        <w:t> </w:t>
      </w:r>
      <w:r>
        <w:rPr/>
        <w:t>that</w:t>
      </w:r>
      <w:r>
        <w:rPr>
          <w:spacing w:val="5"/>
        </w:rPr>
        <w:t> </w:t>
      </w:r>
      <w:r>
        <w:rPr/>
        <w:t>had</w:t>
      </w:r>
      <w:r>
        <w:rPr>
          <w:spacing w:val="5"/>
        </w:rPr>
        <w:t> </w:t>
      </w:r>
      <w:r>
        <w:rPr/>
        <w:t>been</w:t>
      </w:r>
      <w:r>
        <w:rPr>
          <w:spacing w:val="6"/>
        </w:rPr>
        <w:t> </w:t>
      </w:r>
      <w:r>
        <w:rPr/>
        <w:t>collected</w:t>
      </w:r>
      <w:r>
        <w:rPr>
          <w:spacing w:val="5"/>
        </w:rPr>
        <w:t> </w:t>
      </w:r>
      <w:r>
        <w:rPr/>
        <w:t>across</w:t>
      </w:r>
      <w:r>
        <w:rPr>
          <w:spacing w:val="5"/>
        </w:rPr>
        <w:t> </w:t>
      </w:r>
      <w:r>
        <w:rPr/>
        <w:t>the</w:t>
      </w:r>
      <w:r>
        <w:rPr>
          <w:spacing w:val="5"/>
        </w:rPr>
        <w:t> </w:t>
      </w:r>
      <w:r>
        <w:rPr/>
        <w:t>northwest</w:t>
      </w:r>
      <w:r>
        <w:rPr>
          <w:spacing w:val="5"/>
        </w:rPr>
        <w:t> </w:t>
      </w:r>
      <w:r>
        <w:rPr/>
        <w:t>of</w:t>
      </w:r>
      <w:r>
        <w:rPr>
          <w:spacing w:val="6"/>
        </w:rPr>
        <w:t> </w:t>
      </w:r>
      <w:r>
        <w:rPr/>
        <w:t>Kurdistan</w:t>
      </w:r>
      <w:r>
        <w:rPr>
          <w:spacing w:val="5"/>
        </w:rPr>
        <w:t> </w:t>
      </w:r>
      <w:r>
        <w:rPr/>
        <w:t>during</w:t>
      </w:r>
      <w:r>
        <w:rPr>
          <w:spacing w:val="5"/>
        </w:rPr>
        <w:t> </w:t>
      </w:r>
      <w:r>
        <w:rPr/>
        <w:t>June</w:t>
      </w:r>
      <w:r>
        <w:rPr>
          <w:spacing w:val="5"/>
        </w:rPr>
        <w:t> </w:t>
      </w:r>
      <w:r>
        <w:rPr/>
        <w:t>2020-February</w:t>
      </w:r>
      <w:r>
        <w:rPr>
          <w:spacing w:val="6"/>
        </w:rPr>
        <w:t> </w:t>
      </w:r>
      <w:r>
        <w:rPr/>
        <w:t>2022.</w:t>
      </w:r>
    </w:p>
    <w:p>
      <w:pPr>
        <w:spacing w:after="0" w:line="360" w:lineRule="auto"/>
        <w:jc w:val="both"/>
        <w:sectPr>
          <w:type w:val="continuous"/>
          <w:pgSz w:w="11900" w:h="16840"/>
          <w:pgMar w:top="360" w:bottom="280" w:left="580" w:right="580"/>
        </w:sectPr>
      </w:pPr>
    </w:p>
    <w:p>
      <w:pPr>
        <w:pStyle w:val="BodyText"/>
        <w:spacing w:line="360" w:lineRule="auto" w:before="61"/>
        <w:ind w:left="140" w:right="132"/>
        <w:jc w:val="both"/>
      </w:pPr>
      <w:r>
        <w:rPr/>
        <w:t>Fig.</w:t>
      </w:r>
      <w:r>
        <w:rPr>
          <w:spacing w:val="-9"/>
        </w:rPr>
        <w:t> </w:t>
      </w:r>
      <w:r>
        <w:rPr/>
        <w:t>1</w:t>
      </w:r>
      <w:r>
        <w:rPr>
          <w:spacing w:val="-8"/>
        </w:rPr>
        <w:t> </w:t>
      </w:r>
      <w:r>
        <w:rPr/>
        <w:t>shows</w:t>
      </w:r>
      <w:r>
        <w:rPr>
          <w:spacing w:val="-8"/>
        </w:rPr>
        <w:t> </w:t>
      </w:r>
      <w:r>
        <w:rPr/>
        <w:t>how</w:t>
      </w:r>
      <w:r>
        <w:rPr>
          <w:spacing w:val="-8"/>
        </w:rPr>
        <w:t> </w:t>
      </w:r>
      <w:r>
        <w:rPr/>
        <w:t>this</w:t>
      </w:r>
      <w:r>
        <w:rPr>
          <w:spacing w:val="-8"/>
        </w:rPr>
        <w:t> </w:t>
      </w:r>
      <w:r>
        <w:rPr/>
        <w:t>technique</w:t>
      </w:r>
      <w:r>
        <w:rPr>
          <w:spacing w:val="-8"/>
        </w:rPr>
        <w:t> </w:t>
      </w:r>
      <w:r>
        <w:rPr/>
        <w:t>could</w:t>
      </w:r>
      <w:r>
        <w:rPr>
          <w:spacing w:val="-9"/>
        </w:rPr>
        <w:t> </w:t>
      </w:r>
      <w:r>
        <w:rPr/>
        <w:t>be</w:t>
      </w:r>
      <w:r>
        <w:rPr>
          <w:spacing w:val="-8"/>
        </w:rPr>
        <w:t> </w:t>
      </w:r>
      <w:r>
        <w:rPr/>
        <w:t>incorporated</w:t>
      </w:r>
      <w:r>
        <w:rPr>
          <w:spacing w:val="-8"/>
        </w:rPr>
        <w:t> </w:t>
      </w:r>
      <w:r>
        <w:rPr/>
        <w:t>into</w:t>
      </w:r>
      <w:r>
        <w:rPr>
          <w:spacing w:val="-8"/>
        </w:rPr>
        <w:t> </w:t>
      </w:r>
      <w:r>
        <w:rPr/>
        <w:t>diagnostic</w:t>
      </w:r>
      <w:r>
        <w:rPr>
          <w:spacing w:val="-8"/>
        </w:rPr>
        <w:t> </w:t>
      </w:r>
      <w:r>
        <w:rPr/>
        <w:t>pathways.</w:t>
      </w:r>
      <w:r>
        <w:rPr>
          <w:spacing w:val="-8"/>
        </w:rPr>
        <w:t> </w:t>
      </w:r>
      <w:r>
        <w:rPr/>
        <w:t>RNA</w:t>
      </w:r>
      <w:r>
        <w:rPr>
          <w:spacing w:val="-8"/>
        </w:rPr>
        <w:t> </w:t>
      </w:r>
      <w:r>
        <w:rPr/>
        <w:t>from</w:t>
      </w:r>
      <w:r>
        <w:rPr>
          <w:spacing w:val="-9"/>
        </w:rPr>
        <w:t> </w:t>
      </w:r>
      <w:r>
        <w:rPr/>
        <w:t>positive</w:t>
      </w:r>
      <w:r>
        <w:rPr>
          <w:spacing w:val="-8"/>
        </w:rPr>
        <w:t> </w:t>
      </w:r>
      <w:r>
        <w:rPr/>
        <w:t>samples,</w:t>
      </w:r>
      <w:r>
        <w:rPr>
          <w:spacing w:val="-57"/>
        </w:rPr>
        <w:t> </w:t>
      </w:r>
      <w:r>
        <w:rPr/>
        <w:t>from</w:t>
      </w:r>
      <w:r>
        <w:rPr>
          <w:spacing w:val="-11"/>
        </w:rPr>
        <w:t> </w:t>
      </w:r>
      <w:r>
        <w:rPr/>
        <w:t>individuals</w:t>
      </w:r>
      <w:r>
        <w:rPr>
          <w:spacing w:val="-10"/>
        </w:rPr>
        <w:t> </w:t>
      </w:r>
      <w:r>
        <w:rPr/>
        <w:t>with</w:t>
      </w:r>
      <w:r>
        <w:rPr>
          <w:spacing w:val="-10"/>
        </w:rPr>
        <w:t> </w:t>
      </w:r>
      <w:r>
        <w:rPr/>
        <w:t>COVID-19,</w:t>
      </w:r>
      <w:r>
        <w:rPr>
          <w:spacing w:val="-11"/>
        </w:rPr>
        <w:t> </w:t>
      </w:r>
      <w:r>
        <w:rPr/>
        <w:t>could</w:t>
      </w:r>
      <w:r>
        <w:rPr>
          <w:spacing w:val="-10"/>
        </w:rPr>
        <w:t> </w:t>
      </w:r>
      <w:r>
        <w:rPr/>
        <w:t>be</w:t>
      </w:r>
      <w:r>
        <w:rPr>
          <w:spacing w:val="-10"/>
        </w:rPr>
        <w:t> </w:t>
      </w:r>
      <w:r>
        <w:rPr/>
        <w:t>further</w:t>
      </w:r>
      <w:r>
        <w:rPr>
          <w:spacing w:val="-11"/>
        </w:rPr>
        <w:t> </w:t>
      </w:r>
      <w:r>
        <w:rPr/>
        <w:t>screened</w:t>
      </w:r>
      <w:r>
        <w:rPr>
          <w:spacing w:val="-10"/>
        </w:rPr>
        <w:t> </w:t>
      </w:r>
      <w:r>
        <w:rPr/>
        <w:t>with</w:t>
      </w:r>
      <w:r>
        <w:rPr>
          <w:spacing w:val="-10"/>
        </w:rPr>
        <w:t> </w:t>
      </w:r>
      <w:r>
        <w:rPr/>
        <w:t>a</w:t>
      </w:r>
      <w:r>
        <w:rPr>
          <w:spacing w:val="-11"/>
        </w:rPr>
        <w:t> </w:t>
      </w:r>
      <w:r>
        <w:rPr/>
        <w:t>SARS-CoV-2</w:t>
      </w:r>
      <w:r>
        <w:rPr>
          <w:spacing w:val="-10"/>
        </w:rPr>
        <w:t> </w:t>
      </w:r>
      <w:r>
        <w:rPr/>
        <w:t>genotyping</w:t>
      </w:r>
      <w:r>
        <w:rPr>
          <w:spacing w:val="-10"/>
        </w:rPr>
        <w:t> </w:t>
      </w:r>
      <w:r>
        <w:rPr/>
        <w:t>panel</w:t>
      </w:r>
      <w:r>
        <w:rPr>
          <w:spacing w:val="-11"/>
        </w:rPr>
        <w:t> </w:t>
      </w:r>
      <w:r>
        <w:rPr/>
        <w:t>to</w:t>
      </w:r>
      <w:r>
        <w:rPr>
          <w:spacing w:val="-10"/>
        </w:rPr>
        <w:t> </w:t>
      </w:r>
      <w:r>
        <w:rPr/>
        <w:t>identify</w:t>
      </w:r>
      <w:r>
        <w:rPr>
          <w:spacing w:val="-58"/>
        </w:rPr>
        <w:t> </w:t>
      </w:r>
      <w:r>
        <w:rPr/>
        <w:t>variants,</w:t>
      </w:r>
      <w:r>
        <w:rPr>
          <w:spacing w:val="1"/>
        </w:rPr>
        <w:t> </w:t>
      </w:r>
      <w:r>
        <w:rPr/>
        <w:t>thereby</w:t>
      </w:r>
      <w:r>
        <w:rPr>
          <w:spacing w:val="1"/>
        </w:rPr>
        <w:t> </w:t>
      </w:r>
      <w:r>
        <w:rPr/>
        <w:t>providing</w:t>
      </w:r>
      <w:r>
        <w:rPr>
          <w:spacing w:val="1"/>
        </w:rPr>
        <w:t> </w:t>
      </w:r>
      <w:r>
        <w:rPr/>
        <w:t>valuable</w:t>
      </w:r>
      <w:r>
        <w:rPr>
          <w:spacing w:val="1"/>
        </w:rPr>
        <w:t> </w:t>
      </w:r>
      <w:r>
        <w:rPr/>
        <w:t>genomic</w:t>
      </w:r>
      <w:r>
        <w:rPr>
          <w:spacing w:val="1"/>
        </w:rPr>
        <w:t> </w:t>
      </w:r>
      <w:r>
        <w:rPr/>
        <w:t>data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investigate</w:t>
      </w:r>
      <w:r>
        <w:rPr>
          <w:spacing w:val="1"/>
        </w:rPr>
        <w:t> </w:t>
      </w:r>
      <w:r>
        <w:rPr/>
        <w:t>outbreaks,</w:t>
      </w:r>
      <w:r>
        <w:rPr>
          <w:spacing w:val="1"/>
        </w:rPr>
        <w:t> </w:t>
      </w:r>
      <w:r>
        <w:rPr/>
        <w:t>potentially</w:t>
      </w:r>
      <w:r>
        <w:rPr>
          <w:spacing w:val="1"/>
        </w:rPr>
        <w:t> </w:t>
      </w:r>
      <w:r>
        <w:rPr/>
        <w:t>identifying</w:t>
      </w:r>
      <w:r>
        <w:rPr>
          <w:spacing w:val="1"/>
        </w:rPr>
        <w:t> </w:t>
      </w:r>
      <w:r>
        <w:rPr/>
        <w:t>transmission</w:t>
      </w:r>
      <w:r>
        <w:rPr>
          <w:spacing w:val="-7"/>
        </w:rPr>
        <w:t> </w:t>
      </w:r>
      <w:r>
        <w:rPr/>
        <w:t>pathways</w:t>
      </w:r>
      <w:r>
        <w:rPr>
          <w:spacing w:val="-7"/>
        </w:rPr>
        <w:t> </w:t>
      </w:r>
      <w:r>
        <w:rPr/>
        <w:t>linking</w:t>
      </w:r>
      <w:r>
        <w:rPr>
          <w:spacing w:val="-7"/>
        </w:rPr>
        <w:t> </w:t>
      </w:r>
      <w:r>
        <w:rPr/>
        <w:t>local</w:t>
      </w:r>
      <w:r>
        <w:rPr>
          <w:spacing w:val="-7"/>
        </w:rPr>
        <w:t> </w:t>
      </w:r>
      <w:r>
        <w:rPr/>
        <w:t>and</w:t>
      </w:r>
      <w:r>
        <w:rPr>
          <w:spacing w:val="-6"/>
        </w:rPr>
        <w:t> </w:t>
      </w:r>
      <w:r>
        <w:rPr/>
        <w:t>regional</w:t>
      </w:r>
      <w:r>
        <w:rPr>
          <w:spacing w:val="-7"/>
        </w:rPr>
        <w:t> </w:t>
      </w:r>
      <w:r>
        <w:rPr/>
        <w:t>cases</w:t>
      </w:r>
      <w:r>
        <w:rPr>
          <w:spacing w:val="-7"/>
        </w:rPr>
        <w:t> </w:t>
      </w:r>
      <w:r>
        <w:rPr/>
        <w:t>and</w:t>
      </w:r>
      <w:r>
        <w:rPr>
          <w:spacing w:val="-7"/>
        </w:rPr>
        <w:t> </w:t>
      </w:r>
      <w:r>
        <w:rPr/>
        <w:t>helping</w:t>
      </w:r>
      <w:r>
        <w:rPr>
          <w:spacing w:val="-6"/>
        </w:rPr>
        <w:t> </w:t>
      </w:r>
      <w:r>
        <w:rPr/>
        <w:t>to</w:t>
      </w:r>
      <w:r>
        <w:rPr>
          <w:spacing w:val="-7"/>
        </w:rPr>
        <w:t> </w:t>
      </w:r>
      <w:r>
        <w:rPr/>
        <w:t>inform</w:t>
      </w:r>
      <w:r>
        <w:rPr>
          <w:spacing w:val="-7"/>
        </w:rPr>
        <w:t> </w:t>
      </w:r>
      <w:r>
        <w:rPr/>
        <w:t>possible</w:t>
      </w:r>
      <w:r>
        <w:rPr>
          <w:spacing w:val="-7"/>
        </w:rPr>
        <w:t> </w:t>
      </w:r>
      <w:r>
        <w:rPr/>
        <w:t>interventions.</w:t>
      </w:r>
      <w:r>
        <w:rPr>
          <w:spacing w:val="-6"/>
        </w:rPr>
        <w:t> </w:t>
      </w:r>
      <w:r>
        <w:rPr/>
        <w:t>Notably,</w:t>
      </w:r>
      <w:r>
        <w:rPr>
          <w:spacing w:val="-58"/>
        </w:rPr>
        <w:t> </w:t>
      </w:r>
      <w:r>
        <w:rPr/>
        <w:t>efficient</w:t>
      </w:r>
      <w:r>
        <w:rPr>
          <w:spacing w:val="-8"/>
        </w:rPr>
        <w:t> </w:t>
      </w:r>
      <w:r>
        <w:rPr/>
        <w:t>methods</w:t>
      </w:r>
      <w:r>
        <w:rPr>
          <w:spacing w:val="-8"/>
        </w:rPr>
        <w:t> </w:t>
      </w:r>
      <w:r>
        <w:rPr/>
        <w:t>for</w:t>
      </w:r>
      <w:r>
        <w:rPr>
          <w:spacing w:val="-7"/>
        </w:rPr>
        <w:t> </w:t>
      </w:r>
      <w:r>
        <w:rPr/>
        <w:t>tracking</w:t>
      </w:r>
      <w:r>
        <w:rPr>
          <w:spacing w:val="-8"/>
        </w:rPr>
        <w:t> </w:t>
      </w:r>
      <w:r>
        <w:rPr/>
        <w:t>the</w:t>
      </w:r>
      <w:r>
        <w:rPr>
          <w:spacing w:val="-7"/>
        </w:rPr>
        <w:t> </w:t>
      </w:r>
      <w:r>
        <w:rPr/>
        <w:t>transmission</w:t>
      </w:r>
      <w:r>
        <w:rPr>
          <w:spacing w:val="-8"/>
        </w:rPr>
        <w:t> </w:t>
      </w:r>
      <w:r>
        <w:rPr/>
        <w:t>of</w:t>
      </w:r>
      <w:r>
        <w:rPr>
          <w:spacing w:val="-7"/>
        </w:rPr>
        <w:t> </w:t>
      </w:r>
      <w:r>
        <w:rPr/>
        <w:t>certain</w:t>
      </w:r>
      <w:r>
        <w:rPr>
          <w:spacing w:val="-8"/>
        </w:rPr>
        <w:t> </w:t>
      </w:r>
      <w:r>
        <w:rPr/>
        <w:t>lineages</w:t>
      </w:r>
      <w:r>
        <w:rPr>
          <w:spacing w:val="-7"/>
        </w:rPr>
        <w:t> </w:t>
      </w:r>
      <w:r>
        <w:rPr/>
        <w:t>could</w:t>
      </w:r>
      <w:r>
        <w:rPr>
          <w:spacing w:val="-8"/>
        </w:rPr>
        <w:t> </w:t>
      </w:r>
      <w:r>
        <w:rPr/>
        <w:t>be</w:t>
      </w:r>
      <w:r>
        <w:rPr>
          <w:spacing w:val="-7"/>
        </w:rPr>
        <w:t> </w:t>
      </w:r>
      <w:r>
        <w:rPr/>
        <w:t>vital</w:t>
      </w:r>
      <w:r>
        <w:rPr>
          <w:spacing w:val="-8"/>
        </w:rPr>
        <w:t> </w:t>
      </w:r>
      <w:r>
        <w:rPr/>
        <w:t>in</w:t>
      </w:r>
      <w:r>
        <w:rPr>
          <w:spacing w:val="-8"/>
        </w:rPr>
        <w:t> </w:t>
      </w:r>
      <w:r>
        <w:rPr/>
        <w:t>situations</w:t>
      </w:r>
      <w:r>
        <w:rPr>
          <w:spacing w:val="-7"/>
        </w:rPr>
        <w:t> </w:t>
      </w:r>
      <w:r>
        <w:rPr/>
        <w:t>where</w:t>
      </w:r>
      <w:r>
        <w:rPr>
          <w:spacing w:val="-8"/>
        </w:rPr>
        <w:t> </w:t>
      </w:r>
      <w:r>
        <w:rPr/>
        <w:t>mutations</w:t>
      </w:r>
      <w:r>
        <w:rPr>
          <w:spacing w:val="-57"/>
        </w:rPr>
        <w:t> </w:t>
      </w:r>
      <w:r>
        <w:rPr/>
        <w:t>are associated with the increased transmission, severity of disease, or vaccine failure. Collected samples will</w:t>
      </w:r>
      <w:r>
        <w:rPr>
          <w:spacing w:val="-57"/>
        </w:rPr>
        <w:t> </w:t>
      </w:r>
      <w:r>
        <w:rPr/>
        <w:t>propagate in Vero E6 cells cultured in minimum essential medium and treated with anti-viral therapy to</w:t>
      </w:r>
      <w:r>
        <w:rPr>
          <w:spacing w:val="1"/>
        </w:rPr>
        <w:t> </w:t>
      </w:r>
      <w:r>
        <w:rPr/>
        <w:t>estimate</w:t>
      </w:r>
      <w:r>
        <w:rPr>
          <w:spacing w:val="-8"/>
        </w:rPr>
        <w:t> </w:t>
      </w:r>
      <w:r>
        <w:rPr/>
        <w:t>their</w:t>
      </w:r>
      <w:r>
        <w:rPr>
          <w:spacing w:val="-6"/>
        </w:rPr>
        <w:t> </w:t>
      </w:r>
      <w:r>
        <w:rPr/>
        <w:t>potential</w:t>
      </w:r>
      <w:r>
        <w:rPr>
          <w:spacing w:val="-6"/>
        </w:rPr>
        <w:t> </w:t>
      </w:r>
      <w:r>
        <w:rPr/>
        <w:t>effects</w:t>
      </w:r>
      <w:r>
        <w:rPr>
          <w:spacing w:val="-6"/>
        </w:rPr>
        <w:t> </w:t>
      </w:r>
      <w:r>
        <w:rPr/>
        <w:t>(Fig.</w:t>
      </w:r>
      <w:r>
        <w:rPr>
          <w:spacing w:val="-6"/>
        </w:rPr>
        <w:t> </w:t>
      </w:r>
      <w:r>
        <w:rPr/>
        <w:t>2).</w:t>
      </w:r>
      <w:r>
        <w:rPr>
          <w:spacing w:val="-6"/>
        </w:rPr>
        <w:t> </w:t>
      </w:r>
      <w:r>
        <w:rPr/>
        <w:t>The</w:t>
      </w:r>
      <w:r>
        <w:rPr>
          <w:spacing w:val="-7"/>
        </w:rPr>
        <w:t> </w:t>
      </w:r>
      <w:r>
        <w:rPr/>
        <w:t>Swiss</w:t>
      </w:r>
      <w:r>
        <w:rPr>
          <w:spacing w:val="-6"/>
        </w:rPr>
        <w:t> </w:t>
      </w:r>
      <w:r>
        <w:rPr/>
        <w:t>Target</w:t>
      </w:r>
      <w:r>
        <w:rPr>
          <w:spacing w:val="-6"/>
        </w:rPr>
        <w:t> </w:t>
      </w:r>
      <w:r>
        <w:rPr/>
        <w:t>Prediction</w:t>
      </w:r>
      <w:r>
        <w:rPr>
          <w:spacing w:val="-6"/>
        </w:rPr>
        <w:t> </w:t>
      </w:r>
      <w:r>
        <w:rPr/>
        <w:t>website</w:t>
      </w:r>
      <w:r>
        <w:rPr>
          <w:spacing w:val="-6"/>
        </w:rPr>
        <w:t> </w:t>
      </w:r>
      <w:r>
        <w:rPr/>
        <w:t>will</w:t>
      </w:r>
      <w:r>
        <w:rPr>
          <w:spacing w:val="-6"/>
        </w:rPr>
        <w:t> </w:t>
      </w:r>
      <w:r>
        <w:rPr/>
        <w:t>be</w:t>
      </w:r>
      <w:r>
        <w:rPr>
          <w:spacing w:val="-7"/>
        </w:rPr>
        <w:t> </w:t>
      </w:r>
      <w:r>
        <w:rPr/>
        <w:t>conducted</w:t>
      </w:r>
      <w:r>
        <w:rPr>
          <w:spacing w:val="-6"/>
        </w:rPr>
        <w:t> </w:t>
      </w:r>
      <w:r>
        <w:rPr/>
        <w:t>to</w:t>
      </w:r>
      <w:r>
        <w:rPr>
          <w:spacing w:val="-6"/>
        </w:rPr>
        <w:t> </w:t>
      </w:r>
      <w:r>
        <w:rPr/>
        <w:t>evaluate</w:t>
      </w:r>
      <w:r>
        <w:rPr>
          <w:spacing w:val="-6"/>
        </w:rPr>
        <w:t> </w:t>
      </w:r>
      <w:r>
        <w:rPr/>
        <w:t>the</w:t>
      </w:r>
      <w:r>
        <w:rPr>
          <w:spacing w:val="-58"/>
        </w:rPr>
        <w:t> </w:t>
      </w:r>
      <w:r>
        <w:rPr/>
        <w:t>poly-pharmacy effects and predict the potential impacts of multi-therapy drugs. Determination of choline</w:t>
      </w:r>
      <w:r>
        <w:rPr>
          <w:spacing w:val="1"/>
        </w:rPr>
        <w:t> </w:t>
      </w:r>
      <w:r>
        <w:rPr/>
        <w:t>esterase activity and its suitability to inhibitors will be conducted in the study to check the inhibitor's effect</w:t>
      </w:r>
      <w:r>
        <w:rPr>
          <w:spacing w:val="1"/>
        </w:rPr>
        <w:t> </w:t>
      </w:r>
      <w:r>
        <w:rPr/>
        <w:t>against</w:t>
      </w:r>
      <w:r>
        <w:rPr>
          <w:spacing w:val="-1"/>
        </w:rPr>
        <w:t> </w:t>
      </w:r>
      <w:r>
        <w:rPr/>
        <w:t>isolated SARS-CoV-2 patient culture</w:t>
      </w:r>
      <w:r>
        <w:rPr>
          <w:spacing w:val="-2"/>
        </w:rPr>
        <w:t> </w:t>
      </w:r>
      <w:r>
        <w:rPr/>
        <w:t>cells on a molecular</w:t>
      </w:r>
      <w:r>
        <w:rPr>
          <w:spacing w:val="-1"/>
        </w:rPr>
        <w:t> </w:t>
      </w:r>
      <w:r>
        <w:rPr/>
        <w:t>basis.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0"/>
        </w:rPr>
      </w:pPr>
      <w:r>
        <w:rPr/>
        <w:pict>
          <v:group style="position:absolute;margin-left:36.480pt;margin-top:8.252266pt;width:522.5pt;height:118.9pt;mso-position-horizontal-relative:page;mso-position-vertical-relative:paragraph;z-index:-15727104;mso-wrap-distance-left:0;mso-wrap-distance-right:0" coordorigin="730,165" coordsize="10450,2378">
            <v:shape style="position:absolute;left:729;top:165;width:2784;height:1287" type="#_x0000_t75" stroked="false">
              <v:imagedata r:id="rId7" o:title=""/>
            </v:shape>
            <v:shape style="position:absolute;left:3081;top:165;width:2991;height:1287" type="#_x0000_t75" stroked="false">
              <v:imagedata r:id="rId8" o:title=""/>
            </v:shape>
            <v:shape style="position:absolute;left:5635;top:165;width:2991;height:1287" type="#_x0000_t75" stroked="false">
              <v:imagedata r:id="rId9" o:title=""/>
            </v:shape>
            <v:shape style="position:absolute;left:8188;top:165;width:2991;height:1287" type="#_x0000_t75" stroked="false">
              <v:imagedata r:id="rId10" o:title=""/>
            </v:shape>
            <v:shape style="position:absolute;left:5963;top:1370;width:1988;height:1152" coordorigin="5963,1370" coordsize="1988,1152" path="m7663,1370l7375,1658,7581,1658,7581,2357,5963,2357,5963,2522,7745,2522,7745,1658,7951,1658,7663,1370xe" filled="true" fillcolor="#4f81bd" stroked="false">
              <v:path arrowok="t"/>
              <v:fill type="solid"/>
            </v:shape>
            <v:shape style="position:absolute;left:5963;top:1370;width:1988;height:1152" coordorigin="5963,1370" coordsize="1988,1152" path="m5963,2357l7581,2357,7581,1658,7375,1658,7663,1370,7951,1658,7745,1658,7745,2522,5963,2522,5963,2357xe" filled="false" stroked="true" strokeweight="2.0pt" strokecolor="#385d8a">
              <v:path arrowok="t"/>
              <v:stroke dashstyle="solid"/>
            </v:shape>
            <v:shape style="position:absolute;left:3811;top:1370;width:2100;height:1152" coordorigin="3811,1370" coordsize="2100,1152" path="m4099,1370l3811,1658,4016,1658,4016,2522,5911,2522,5911,2356,4182,2356,4182,1658,4387,1658,4099,1370xe" filled="true" fillcolor="#4f81bd" stroked="false">
              <v:path arrowok="t"/>
              <v:fill type="solid"/>
            </v:shape>
            <v:shape style="position:absolute;left:3811;top:1370;width:2100;height:1152" coordorigin="3811,1370" coordsize="2100,1152" path="m5911,2356l4182,2356,4182,1658,4387,1658,4099,1370,3811,1658,4016,1658,4016,2522,5911,2522,5911,2356xe" filled="false" stroked="true" strokeweight="2.0pt" strokecolor="#385d8a">
              <v:path arrowok="t"/>
              <v:stroke dashstyle="solid"/>
            </v:shap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1491;top:459;width:1332;height:597" type="#_x0000_t202" filled="false" stroked="false">
              <v:textbox inset="0,0,0,0">
                <w:txbxContent>
                  <w:p>
                    <w:pPr>
                      <w:spacing w:line="266" w:lineRule="exact" w:before="0"/>
                      <w:ind w:left="0" w:right="17" w:firstLine="0"/>
                      <w:jc w:val="center"/>
                      <w:rPr>
                        <w:sz w:val="24"/>
                      </w:rPr>
                    </w:pPr>
                    <w:r>
                      <w:rPr>
                        <w:color w:val="FFFFFF"/>
                        <w:sz w:val="24"/>
                      </w:rPr>
                      <w:t>Positive</w:t>
                    </w:r>
                  </w:p>
                  <w:p>
                    <w:pPr>
                      <w:spacing w:before="55"/>
                      <w:ind w:left="0" w:right="18" w:firstLine="0"/>
                      <w:jc w:val="center"/>
                      <w:rPr>
                        <w:sz w:val="24"/>
                      </w:rPr>
                    </w:pPr>
                    <w:r>
                      <w:rPr>
                        <w:color w:val="FFFFFF"/>
                        <w:spacing w:val="-3"/>
                        <w:sz w:val="24"/>
                      </w:rPr>
                      <w:t>SARS-C0V-2</w:t>
                    </w:r>
                  </w:p>
                </w:txbxContent>
              </v:textbox>
              <w10:wrap type="none"/>
            </v:shape>
            <v:shape style="position:absolute;left:4060;top:387;width:1100;height:746" type="#_x0000_t202" filled="false" stroked="false">
              <v:textbox inset="0,0,0,0">
                <w:txbxContent>
                  <w:p>
                    <w:pPr>
                      <w:spacing w:line="208" w:lineRule="auto" w:before="19"/>
                      <w:ind w:left="0" w:right="18" w:firstLine="0"/>
                      <w:jc w:val="center"/>
                      <w:rPr>
                        <w:sz w:val="24"/>
                      </w:rPr>
                    </w:pPr>
                    <w:r>
                      <w:rPr>
                        <w:color w:val="FFFFFF"/>
                        <w:sz w:val="24"/>
                      </w:rPr>
                      <w:t>Screen for</w:t>
                    </w:r>
                    <w:r>
                      <w:rPr>
                        <w:color w:val="FFFFFF"/>
                        <w:spacing w:val="1"/>
                        <w:sz w:val="24"/>
                      </w:rPr>
                      <w:t> </w:t>
                    </w:r>
                    <w:r>
                      <w:rPr>
                        <w:color w:val="FFFFFF"/>
                        <w:sz w:val="24"/>
                      </w:rPr>
                      <w:t>genotyping</w:t>
                    </w:r>
                    <w:r>
                      <w:rPr>
                        <w:color w:val="FFFFFF"/>
                        <w:spacing w:val="-58"/>
                        <w:sz w:val="24"/>
                      </w:rPr>
                      <w:t> </w:t>
                    </w:r>
                    <w:r>
                      <w:rPr>
                        <w:color w:val="FFFFFF"/>
                        <w:sz w:val="24"/>
                      </w:rPr>
                      <w:t>panel</w:t>
                    </w:r>
                  </w:p>
                </w:txbxContent>
              </v:textbox>
              <w10:wrap type="none"/>
            </v:shape>
            <v:shape style="position:absolute;left:6515;top:507;width:1300;height:506" type="#_x0000_t202" filled="false" stroked="false">
              <v:textbox inset="0,0,0,0">
                <w:txbxContent>
                  <w:p>
                    <w:pPr>
                      <w:spacing w:line="208" w:lineRule="auto" w:before="19"/>
                      <w:ind w:left="0" w:right="14" w:firstLine="293"/>
                      <w:jc w:val="left"/>
                      <w:rPr>
                        <w:sz w:val="24"/>
                      </w:rPr>
                    </w:pPr>
                    <w:r>
                      <w:rPr>
                        <w:color w:val="FFFFFF"/>
                        <w:sz w:val="24"/>
                      </w:rPr>
                      <w:t>Variant</w:t>
                    </w:r>
                    <w:r>
                      <w:rPr>
                        <w:color w:val="FFFFFF"/>
                        <w:spacing w:val="1"/>
                        <w:sz w:val="24"/>
                      </w:rPr>
                      <w:t> </w:t>
                    </w:r>
                    <w:r>
                      <w:rPr>
                        <w:color w:val="FFFFFF"/>
                        <w:spacing w:val="-1"/>
                        <w:sz w:val="24"/>
                      </w:rPr>
                      <w:t>identification</w:t>
                    </w:r>
                  </w:p>
                </w:txbxContent>
              </v:textbox>
              <w10:wrap type="none"/>
            </v:shape>
            <v:shape style="position:absolute;left:8990;top:387;width:1264;height:506" type="#_x0000_t202" filled="false" stroked="false">
              <v:textbox inset="0,0,0,0">
                <w:txbxContent>
                  <w:p>
                    <w:pPr>
                      <w:spacing w:line="248" w:lineRule="exact" w:before="0"/>
                      <w:ind w:left="196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FFFFFF"/>
                        <w:sz w:val="24"/>
                      </w:rPr>
                      <w:t>Submit</w:t>
                    </w:r>
                    <w:r>
                      <w:rPr>
                        <w:color w:val="FFFFFF"/>
                        <w:spacing w:val="-1"/>
                        <w:sz w:val="24"/>
                      </w:rPr>
                      <w:t> </w:t>
                    </w:r>
                    <w:r>
                      <w:rPr>
                        <w:color w:val="FFFFFF"/>
                        <w:sz w:val="24"/>
                      </w:rPr>
                      <w:t>the</w:t>
                    </w:r>
                  </w:p>
                  <w:p>
                    <w:pPr>
                      <w:spacing w:line="258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FFFFFF"/>
                        <w:sz w:val="24"/>
                      </w:rPr>
                      <w:t>re</w:t>
                    </w:r>
                  </w:p>
                </w:txbxContent>
              </v:textbox>
              <w10:wrap type="none"/>
            </v:shape>
            <v:shape style="position:absolute;left:9177;top:627;width:1274;height:266" type="#_x0000_t202" filled="false" stroked="false">
              <v:textbox inset="0,0,0,0">
                <w:txbxContent>
                  <w:p>
                    <w:pPr>
                      <w:spacing w:line="266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FFFFFF"/>
                        <w:sz w:val="24"/>
                      </w:rPr>
                      <w:t>sults</w:t>
                    </w:r>
                    <w:r>
                      <w:rPr>
                        <w:color w:val="FFFFFF"/>
                        <w:spacing w:val="-2"/>
                        <w:sz w:val="24"/>
                      </w:rPr>
                      <w:t> </w:t>
                    </w:r>
                    <w:r>
                      <w:rPr>
                        <w:color w:val="FFFFFF"/>
                        <w:sz w:val="24"/>
                      </w:rPr>
                      <w:t>to</w:t>
                    </w:r>
                    <w:r>
                      <w:rPr>
                        <w:color w:val="FFFFFF"/>
                        <w:spacing w:val="-1"/>
                        <w:sz w:val="24"/>
                      </w:rPr>
                      <w:t> </w:t>
                    </w:r>
                    <w:r>
                      <w:rPr>
                        <w:color w:val="FFFFFF"/>
                        <w:sz w:val="24"/>
                      </w:rPr>
                      <w:t>Gene</w:t>
                    </w:r>
                  </w:p>
                </w:txbxContent>
              </v:textbox>
              <w10:wrap type="none"/>
            </v:shape>
            <v:shape style="position:absolute;left:9260;top:867;width:920;height:266" type="#_x0000_t202" filled="false" stroked="false">
              <v:textbox inset="0,0,0,0">
                <w:txbxContent>
                  <w:p>
                    <w:pPr>
                      <w:spacing w:line="266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FFFFFF"/>
                        <w:sz w:val="24"/>
                      </w:rPr>
                      <w:t>Bank</w:t>
                    </w:r>
                    <w:r>
                      <w:rPr>
                        <w:color w:val="FFFFFF"/>
                        <w:spacing w:val="-1"/>
                        <w:sz w:val="24"/>
                      </w:rPr>
                      <w:t> </w:t>
                    </w:r>
                    <w:r>
                      <w:rPr>
                        <w:color w:val="FFFFFF"/>
                        <w:sz w:val="24"/>
                      </w:rPr>
                      <w:t>site</w:t>
                    </w:r>
                  </w:p>
                </w:txbxContent>
              </v:textbox>
              <w10:wrap type="none"/>
            </v:shape>
            <v:shape style="position:absolute;left:4256;top:1651;width:3248;height:454" type="#_x0000_t202" filled="false" stroked="false">
              <v:textbox inset="0,0,0,0">
                <w:txbxContent>
                  <w:p>
                    <w:pPr>
                      <w:spacing w:line="240" w:lineRule="auto" w:before="0"/>
                      <w:ind w:left="0" w:right="13" w:firstLine="391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Updating of genotyping panel</w:t>
                    </w:r>
                    <w:r>
                      <w:rPr>
                        <w:spacing w:val="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following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releases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new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sequence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data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11"/>
        <w:rPr>
          <w:sz w:val="22"/>
        </w:rPr>
      </w:pPr>
    </w:p>
    <w:p>
      <w:pPr>
        <w:spacing w:before="0"/>
        <w:ind w:left="140" w:right="0" w:firstLine="0"/>
        <w:jc w:val="both"/>
        <w:rPr>
          <w:rFonts w:ascii="Calibri"/>
          <w:sz w:val="20"/>
        </w:rPr>
      </w:pPr>
      <w:r>
        <w:rPr>
          <w:sz w:val="20"/>
        </w:rPr>
        <w:t>Fig</w:t>
      </w:r>
      <w:r>
        <w:rPr>
          <w:spacing w:val="-3"/>
          <w:sz w:val="20"/>
        </w:rPr>
        <w:t> </w:t>
      </w:r>
      <w:r>
        <w:rPr>
          <w:sz w:val="20"/>
        </w:rPr>
        <w:t>1.</w:t>
      </w:r>
      <w:r>
        <w:rPr>
          <w:spacing w:val="-2"/>
          <w:sz w:val="20"/>
        </w:rPr>
        <w:t> </w:t>
      </w:r>
      <w:r>
        <w:rPr>
          <w:sz w:val="20"/>
        </w:rPr>
        <w:t>How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SARS-CoV-2</w:t>
      </w:r>
      <w:r>
        <w:rPr>
          <w:spacing w:val="-2"/>
          <w:sz w:val="20"/>
        </w:rPr>
        <w:t> </w:t>
      </w:r>
      <w:r>
        <w:rPr>
          <w:sz w:val="20"/>
        </w:rPr>
        <w:t>genotyping</w:t>
      </w:r>
      <w:r>
        <w:rPr>
          <w:spacing w:val="-2"/>
          <w:sz w:val="20"/>
        </w:rPr>
        <w:t> </w:t>
      </w:r>
      <w:r>
        <w:rPr>
          <w:sz w:val="20"/>
        </w:rPr>
        <w:t>panel</w:t>
      </w:r>
      <w:r>
        <w:rPr>
          <w:spacing w:val="-2"/>
          <w:sz w:val="20"/>
        </w:rPr>
        <w:t> </w:t>
      </w:r>
      <w:r>
        <w:rPr>
          <w:sz w:val="20"/>
        </w:rPr>
        <w:t>can</w:t>
      </w:r>
      <w:r>
        <w:rPr>
          <w:spacing w:val="-2"/>
          <w:sz w:val="20"/>
        </w:rPr>
        <w:t> </w:t>
      </w:r>
      <w:r>
        <w:rPr>
          <w:sz w:val="20"/>
        </w:rPr>
        <w:t>be</w:t>
      </w:r>
      <w:r>
        <w:rPr>
          <w:spacing w:val="-2"/>
          <w:sz w:val="20"/>
        </w:rPr>
        <w:t> </w:t>
      </w:r>
      <w:r>
        <w:rPr>
          <w:sz w:val="20"/>
        </w:rPr>
        <w:t>used</w:t>
      </w:r>
      <w:r>
        <w:rPr>
          <w:spacing w:val="-3"/>
          <w:sz w:val="20"/>
        </w:rPr>
        <w:t> </w:t>
      </w:r>
      <w:r>
        <w:rPr>
          <w:sz w:val="20"/>
        </w:rPr>
        <w:t>to</w:t>
      </w:r>
      <w:r>
        <w:rPr>
          <w:spacing w:val="-2"/>
          <w:sz w:val="20"/>
        </w:rPr>
        <w:t> </w:t>
      </w:r>
      <w:r>
        <w:rPr>
          <w:sz w:val="20"/>
        </w:rPr>
        <w:t>identify</w:t>
      </w:r>
      <w:r>
        <w:rPr>
          <w:spacing w:val="-2"/>
          <w:sz w:val="20"/>
        </w:rPr>
        <w:t> </w:t>
      </w:r>
      <w:r>
        <w:rPr>
          <w:sz w:val="20"/>
        </w:rPr>
        <w:t>circulating</w:t>
      </w:r>
      <w:r>
        <w:rPr>
          <w:spacing w:val="-2"/>
          <w:sz w:val="20"/>
        </w:rPr>
        <w:t> </w:t>
      </w:r>
      <w:r>
        <w:rPr>
          <w:sz w:val="20"/>
        </w:rPr>
        <w:t>SARS-CoV-2</w:t>
      </w:r>
      <w:r>
        <w:rPr>
          <w:spacing w:val="-2"/>
          <w:sz w:val="20"/>
        </w:rPr>
        <w:t> </w:t>
      </w:r>
      <w:r>
        <w:rPr>
          <w:sz w:val="20"/>
        </w:rPr>
        <w:t>variants</w:t>
      </w:r>
      <w:r>
        <w:rPr>
          <w:rFonts w:ascii="Calibri"/>
          <w:sz w:val="20"/>
        </w:rPr>
        <w:t>.</w:t>
      </w: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11"/>
        <w:rPr>
          <w:rFonts w:ascii="Calibri"/>
          <w:sz w:val="25"/>
        </w:rPr>
      </w:pPr>
      <w:r>
        <w:rPr/>
        <w:drawing>
          <wp:anchor distT="0" distB="0" distL="0" distR="0" allowOverlap="1" layoutInCell="1" locked="0" behindDoc="0" simplePos="0" relativeHeight="4">
            <wp:simplePos x="0" y="0"/>
            <wp:positionH relativeFrom="page">
              <wp:posOffset>552815</wp:posOffset>
            </wp:positionH>
            <wp:positionV relativeFrom="paragraph">
              <wp:posOffset>226002</wp:posOffset>
            </wp:positionV>
            <wp:extent cx="5987111" cy="3080385"/>
            <wp:effectExtent l="0" t="0" r="0" b="0"/>
            <wp:wrapTopAndBottom/>
            <wp:docPr id="5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111" cy="3080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rPr>
          <w:rFonts w:ascii="Calibri"/>
          <w:sz w:val="22"/>
        </w:rPr>
      </w:pPr>
    </w:p>
    <w:p>
      <w:pPr>
        <w:spacing w:line="276" w:lineRule="auto" w:before="0"/>
        <w:ind w:left="140" w:right="130" w:firstLine="0"/>
        <w:jc w:val="left"/>
        <w:rPr>
          <w:sz w:val="20"/>
        </w:rPr>
      </w:pPr>
      <w:r>
        <w:rPr>
          <w:b/>
          <w:sz w:val="20"/>
        </w:rPr>
        <w:t>Figure 2. </w:t>
      </w:r>
      <w:r>
        <w:rPr>
          <w:sz w:val="20"/>
        </w:rPr>
        <w:t>Representation of the effects of microcystins in the cytoskeleton, namely the changes of the hepatocytes and sinusoidal</w:t>
      </w:r>
      <w:r>
        <w:rPr>
          <w:spacing w:val="1"/>
          <w:sz w:val="20"/>
        </w:rPr>
        <w:t> </w:t>
      </w:r>
      <w:r>
        <w:rPr>
          <w:sz w:val="20"/>
        </w:rPr>
        <w:t>capillary structure, and intrahepatic bleeding, mediated by the inhibition of protein phosphatases PP1 and PP2A. Legend: H –</w:t>
      </w:r>
      <w:r>
        <w:rPr>
          <w:spacing w:val="1"/>
          <w:sz w:val="20"/>
        </w:rPr>
        <w:t> </w:t>
      </w:r>
      <w:r>
        <w:rPr>
          <w:sz w:val="20"/>
        </w:rPr>
        <w:t>hepatocyte; SC – Sinusoidal capillary; MC – microcystins; OH – hydroxyl group; P – phosphate group; PP1 – protein phosphatase</w:t>
      </w:r>
      <w:r>
        <w:rPr>
          <w:spacing w:val="-48"/>
          <w:sz w:val="20"/>
        </w:rPr>
        <w:t> </w:t>
      </w:r>
      <w:r>
        <w:rPr>
          <w:sz w:val="20"/>
        </w:rPr>
        <w:t>1;</w:t>
      </w:r>
      <w:r>
        <w:rPr>
          <w:spacing w:val="-2"/>
          <w:sz w:val="20"/>
        </w:rPr>
        <w:t> </w:t>
      </w:r>
      <w:r>
        <w:rPr>
          <w:sz w:val="20"/>
        </w:rPr>
        <w:t>PP2</w:t>
      </w:r>
      <w:r>
        <w:rPr>
          <w:spacing w:val="-1"/>
          <w:sz w:val="20"/>
        </w:rPr>
        <w:t> </w:t>
      </w:r>
      <w:r>
        <w:rPr>
          <w:sz w:val="20"/>
        </w:rPr>
        <w:t>–</w:t>
      </w:r>
      <w:r>
        <w:rPr>
          <w:spacing w:val="-1"/>
          <w:sz w:val="20"/>
        </w:rPr>
        <w:t> </w:t>
      </w:r>
      <w:r>
        <w:rPr>
          <w:sz w:val="20"/>
        </w:rPr>
        <w:t>protein</w:t>
      </w:r>
      <w:r>
        <w:rPr>
          <w:spacing w:val="-1"/>
          <w:sz w:val="20"/>
        </w:rPr>
        <w:t> </w:t>
      </w:r>
      <w:r>
        <w:rPr>
          <w:sz w:val="20"/>
        </w:rPr>
        <w:t>phosphatase</w:t>
      </w:r>
      <w:r>
        <w:rPr>
          <w:spacing w:val="-1"/>
          <w:sz w:val="20"/>
        </w:rPr>
        <w:t> </w:t>
      </w:r>
      <w:r>
        <w:rPr>
          <w:sz w:val="20"/>
        </w:rPr>
        <w:t>2.</w:t>
      </w:r>
    </w:p>
    <w:p>
      <w:pPr>
        <w:spacing w:after="0" w:line="276" w:lineRule="auto"/>
        <w:jc w:val="left"/>
        <w:rPr>
          <w:sz w:val="20"/>
        </w:rPr>
        <w:sectPr>
          <w:pgSz w:w="11900" w:h="16840"/>
          <w:pgMar w:top="660" w:bottom="280" w:left="580" w:right="580"/>
        </w:sectPr>
      </w:pPr>
    </w:p>
    <w:p>
      <w:pPr>
        <w:spacing w:before="57"/>
        <w:ind w:left="140" w:right="0" w:firstLine="0"/>
        <w:jc w:val="left"/>
        <w:rPr>
          <w:b/>
          <w:sz w:val="28"/>
        </w:rPr>
      </w:pPr>
      <w:r>
        <w:rPr>
          <w:b/>
          <w:sz w:val="28"/>
        </w:rPr>
        <w:t>Research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objectives</w:t>
      </w:r>
    </w:p>
    <w:p>
      <w:pPr>
        <w:pStyle w:val="BodyText"/>
        <w:spacing w:before="6"/>
        <w:rPr>
          <w:b/>
        </w:rPr>
      </w:pPr>
    </w:p>
    <w:p>
      <w:pPr>
        <w:pStyle w:val="BodyText"/>
        <w:spacing w:line="360" w:lineRule="auto"/>
        <w:ind w:left="707" w:right="132"/>
        <w:jc w:val="both"/>
      </w:pPr>
      <w:r>
        <w:rPr/>
        <w:t>We hypothesize that detecting the different types of SARS-CoV-2 variants through single nucleotide</w:t>
      </w:r>
      <w:r>
        <w:rPr>
          <w:spacing w:val="1"/>
        </w:rPr>
        <w:t> </w:t>
      </w:r>
      <w:r>
        <w:rPr/>
        <w:t>polymorphism</w:t>
      </w:r>
      <w:r>
        <w:rPr>
          <w:spacing w:val="-9"/>
        </w:rPr>
        <w:t> </w:t>
      </w:r>
      <w:r>
        <w:rPr/>
        <w:t>(SNP)</w:t>
      </w:r>
      <w:r>
        <w:rPr>
          <w:spacing w:val="-8"/>
        </w:rPr>
        <w:t> </w:t>
      </w:r>
      <w:r>
        <w:rPr/>
        <w:t>genotyping</w:t>
      </w:r>
      <w:r>
        <w:rPr>
          <w:spacing w:val="-8"/>
        </w:rPr>
        <w:t> </w:t>
      </w:r>
      <w:r>
        <w:rPr/>
        <w:t>that</w:t>
      </w:r>
      <w:r>
        <w:rPr>
          <w:spacing w:val="-8"/>
        </w:rPr>
        <w:t> </w:t>
      </w:r>
      <w:r>
        <w:rPr/>
        <w:t>induces</w:t>
      </w:r>
      <w:r>
        <w:rPr>
          <w:spacing w:val="-8"/>
        </w:rPr>
        <w:t> </w:t>
      </w:r>
      <w:r>
        <w:rPr/>
        <w:t>potential</w:t>
      </w:r>
      <w:r>
        <w:rPr>
          <w:spacing w:val="-8"/>
        </w:rPr>
        <w:t> </w:t>
      </w:r>
      <w:r>
        <w:rPr/>
        <w:t>oxidative</w:t>
      </w:r>
      <w:r>
        <w:rPr>
          <w:spacing w:val="-9"/>
        </w:rPr>
        <w:t> </w:t>
      </w:r>
      <w:r>
        <w:rPr/>
        <w:t>stress</w:t>
      </w:r>
      <w:r>
        <w:rPr>
          <w:spacing w:val="-8"/>
        </w:rPr>
        <w:t> </w:t>
      </w:r>
      <w:r>
        <w:rPr/>
        <w:t>and</w:t>
      </w:r>
      <w:r>
        <w:rPr>
          <w:spacing w:val="-8"/>
        </w:rPr>
        <w:t> </w:t>
      </w:r>
      <w:r>
        <w:rPr/>
        <w:t>affects</w:t>
      </w:r>
      <w:r>
        <w:rPr>
          <w:spacing w:val="-8"/>
        </w:rPr>
        <w:t> </w:t>
      </w:r>
      <w:r>
        <w:rPr/>
        <w:t>the</w:t>
      </w:r>
      <w:r>
        <w:rPr>
          <w:spacing w:val="-9"/>
        </w:rPr>
        <w:t> </w:t>
      </w:r>
      <w:r>
        <w:rPr/>
        <w:t>immunity/health</w:t>
      </w:r>
      <w:r>
        <w:rPr>
          <w:spacing w:val="-58"/>
        </w:rPr>
        <w:t> </w:t>
      </w:r>
      <w:r>
        <w:rPr/>
        <w:t>status through its toxic impact of 160 hospitalized Covid-19 patients, and evaluating anti-viral therapy</w:t>
      </w:r>
      <w:r>
        <w:rPr>
          <w:spacing w:val="1"/>
        </w:rPr>
        <w:t> </w:t>
      </w:r>
      <w:r>
        <w:rPr/>
        <w:t>using</w:t>
      </w:r>
      <w:r>
        <w:rPr>
          <w:spacing w:val="-2"/>
        </w:rPr>
        <w:t> </w:t>
      </w:r>
      <w:r>
        <w:rPr/>
        <w:t>Vero E6 cell</w:t>
      </w:r>
      <w:r>
        <w:rPr>
          <w:spacing w:val="-1"/>
        </w:rPr>
        <w:t> </w:t>
      </w:r>
      <w:r>
        <w:rPr/>
        <w:t>line</w:t>
      </w:r>
      <w:r>
        <w:rPr>
          <w:spacing w:val="-1"/>
        </w:rPr>
        <w:t> </w:t>
      </w:r>
      <w:r>
        <w:rPr/>
        <w:t>exposed to the</w:t>
      </w:r>
      <w:r>
        <w:rPr>
          <w:spacing w:val="-2"/>
        </w:rPr>
        <w:t> </w:t>
      </w:r>
      <w:r>
        <w:rPr/>
        <w:t>different</w:t>
      </w:r>
      <w:r>
        <w:rPr>
          <w:spacing w:val="-1"/>
        </w:rPr>
        <w:t> </w:t>
      </w:r>
      <w:r>
        <w:rPr/>
        <w:t>variants of coronaviruses.</w:t>
      </w:r>
    </w:p>
    <w:p>
      <w:pPr>
        <w:pStyle w:val="BodyText"/>
        <w:ind w:left="680"/>
        <w:jc w:val="both"/>
      </w:pPr>
      <w:r>
        <w:rPr/>
        <w:t>The</w:t>
      </w:r>
      <w:r>
        <w:rPr>
          <w:spacing w:val="-2"/>
        </w:rPr>
        <w:t> </w:t>
      </w:r>
      <w:r>
        <w:rPr/>
        <w:t>study</w:t>
      </w:r>
      <w:r>
        <w:rPr>
          <w:spacing w:val="-1"/>
        </w:rPr>
        <w:t> </w:t>
      </w:r>
      <w:r>
        <w:rPr/>
        <w:t>will</w:t>
      </w:r>
      <w:r>
        <w:rPr>
          <w:spacing w:val="-1"/>
        </w:rPr>
        <w:t> </w:t>
      </w:r>
      <w:r>
        <w:rPr/>
        <w:t>be</w:t>
      </w:r>
      <w:r>
        <w:rPr>
          <w:spacing w:val="-2"/>
        </w:rPr>
        <w:t> </w:t>
      </w:r>
      <w:r>
        <w:rPr/>
        <w:t>conducted by</w:t>
      </w:r>
      <w:r>
        <w:rPr>
          <w:spacing w:val="-1"/>
        </w:rPr>
        <w:t> </w:t>
      </w:r>
      <w:r>
        <w:rPr/>
        <w:t>performing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following</w:t>
      </w:r>
      <w:r>
        <w:rPr>
          <w:spacing w:val="-1"/>
        </w:rPr>
        <w:t> </w:t>
      </w:r>
      <w:r>
        <w:rPr/>
        <w:t>laboratory tests:</w:t>
      </w:r>
    </w:p>
    <w:p>
      <w:pPr>
        <w:pStyle w:val="ListParagraph"/>
        <w:numPr>
          <w:ilvl w:val="0"/>
          <w:numId w:val="1"/>
        </w:numPr>
        <w:tabs>
          <w:tab w:pos="707" w:val="left" w:leader="none"/>
        </w:tabs>
        <w:spacing w:line="240" w:lineRule="auto" w:before="142" w:after="0"/>
        <w:ind w:left="707" w:right="0" w:hanging="360"/>
        <w:jc w:val="left"/>
        <w:rPr>
          <w:sz w:val="24"/>
        </w:rPr>
      </w:pPr>
      <w:r>
        <w:rPr>
          <w:sz w:val="24"/>
        </w:rPr>
        <w:t>Detecting</w:t>
      </w:r>
      <w:r>
        <w:rPr>
          <w:spacing w:val="-2"/>
          <w:sz w:val="24"/>
        </w:rPr>
        <w:t> </w:t>
      </w:r>
      <w:r>
        <w:rPr>
          <w:sz w:val="24"/>
        </w:rPr>
        <w:t>SARS-CoV-2</w:t>
      </w:r>
      <w:r>
        <w:rPr>
          <w:spacing w:val="-1"/>
          <w:sz w:val="24"/>
        </w:rPr>
        <w:t> </w:t>
      </w:r>
      <w:r>
        <w:rPr>
          <w:sz w:val="24"/>
        </w:rPr>
        <w:t>variants</w:t>
      </w:r>
      <w:r>
        <w:rPr>
          <w:spacing w:val="-1"/>
          <w:sz w:val="24"/>
        </w:rPr>
        <w:t> </w:t>
      </w:r>
      <w:r>
        <w:rPr>
          <w:sz w:val="24"/>
        </w:rPr>
        <w:t>with</w:t>
      </w:r>
      <w:r>
        <w:rPr>
          <w:spacing w:val="-1"/>
          <w:sz w:val="24"/>
        </w:rPr>
        <w:t> </w:t>
      </w:r>
      <w:r>
        <w:rPr>
          <w:sz w:val="24"/>
        </w:rPr>
        <w:t>SNP</w:t>
      </w:r>
      <w:r>
        <w:rPr>
          <w:spacing w:val="-1"/>
          <w:sz w:val="24"/>
        </w:rPr>
        <w:t> </w:t>
      </w:r>
      <w:r>
        <w:rPr>
          <w:sz w:val="24"/>
        </w:rPr>
        <w:t>genotyping.</w:t>
      </w:r>
      <w:r>
        <w:rPr>
          <w:spacing w:val="-1"/>
          <w:sz w:val="24"/>
        </w:rPr>
        <w:t> </w:t>
      </w:r>
      <w:r>
        <w:rPr>
          <w:b/>
          <w:color w:val="FF0000"/>
          <w:sz w:val="24"/>
        </w:rPr>
        <w:t>(Proposed</w:t>
      </w:r>
      <w:r>
        <w:rPr>
          <w:b/>
          <w:color w:val="FF0000"/>
          <w:spacing w:val="-1"/>
          <w:sz w:val="24"/>
        </w:rPr>
        <w:t> </w:t>
      </w:r>
      <w:r>
        <w:rPr>
          <w:b/>
          <w:color w:val="FF0000"/>
          <w:sz w:val="24"/>
        </w:rPr>
        <w:t>to</w:t>
      </w:r>
      <w:r>
        <w:rPr>
          <w:b/>
          <w:color w:val="FF0000"/>
          <w:spacing w:val="-2"/>
          <w:sz w:val="24"/>
        </w:rPr>
        <w:t> </w:t>
      </w:r>
      <w:r>
        <w:rPr>
          <w:b/>
          <w:color w:val="FF0000"/>
          <w:sz w:val="24"/>
        </w:rPr>
        <w:t>be</w:t>
      </w:r>
      <w:r>
        <w:rPr>
          <w:b/>
          <w:color w:val="FF0000"/>
          <w:spacing w:val="-2"/>
          <w:sz w:val="24"/>
        </w:rPr>
        <w:t> </w:t>
      </w:r>
      <w:r>
        <w:rPr>
          <w:b/>
          <w:color w:val="FF0000"/>
          <w:sz w:val="24"/>
        </w:rPr>
        <w:t>done</w:t>
      </w:r>
      <w:r>
        <w:rPr>
          <w:b/>
          <w:color w:val="FF0000"/>
          <w:spacing w:val="-2"/>
          <w:sz w:val="24"/>
        </w:rPr>
        <w:t> </w:t>
      </w:r>
      <w:r>
        <w:rPr>
          <w:b/>
          <w:color w:val="FF0000"/>
          <w:sz w:val="24"/>
        </w:rPr>
        <w:t>when</w:t>
      </w:r>
      <w:r>
        <w:rPr>
          <w:b/>
          <w:color w:val="FF0000"/>
          <w:spacing w:val="-1"/>
          <w:sz w:val="24"/>
        </w:rPr>
        <w:t> </w:t>
      </w:r>
      <w:r>
        <w:rPr>
          <w:b/>
          <w:color w:val="FF0000"/>
          <w:sz w:val="24"/>
        </w:rPr>
        <w:t>funded</w:t>
      </w:r>
      <w:r>
        <w:rPr>
          <w:color w:val="FF0000"/>
          <w:sz w:val="24"/>
        </w:rPr>
        <w:t>)</w:t>
      </w:r>
    </w:p>
    <w:p>
      <w:pPr>
        <w:pStyle w:val="ListParagraph"/>
        <w:numPr>
          <w:ilvl w:val="0"/>
          <w:numId w:val="1"/>
        </w:numPr>
        <w:tabs>
          <w:tab w:pos="707" w:val="left" w:leader="none"/>
        </w:tabs>
        <w:spacing w:line="360" w:lineRule="auto" w:before="137" w:after="0"/>
        <w:ind w:left="707" w:right="131" w:hanging="360"/>
        <w:jc w:val="left"/>
        <w:rPr>
          <w:sz w:val="24"/>
        </w:rPr>
      </w:pPr>
      <w:r>
        <w:rPr>
          <w:sz w:val="24"/>
        </w:rPr>
        <w:t>Genome</w:t>
      </w:r>
      <w:r>
        <w:rPr>
          <w:spacing w:val="5"/>
          <w:sz w:val="24"/>
        </w:rPr>
        <w:t> </w:t>
      </w:r>
      <w:r>
        <w:rPr>
          <w:sz w:val="24"/>
        </w:rPr>
        <w:t>sequencing</w:t>
      </w:r>
      <w:r>
        <w:rPr>
          <w:spacing w:val="6"/>
          <w:sz w:val="24"/>
        </w:rPr>
        <w:t> </w:t>
      </w:r>
      <w:r>
        <w:rPr>
          <w:sz w:val="24"/>
        </w:rPr>
        <w:t>of</w:t>
      </w:r>
      <w:r>
        <w:rPr>
          <w:spacing w:val="6"/>
          <w:sz w:val="24"/>
        </w:rPr>
        <w:t> </w:t>
      </w:r>
      <w:r>
        <w:rPr>
          <w:sz w:val="24"/>
        </w:rPr>
        <w:t>the</w:t>
      </w:r>
      <w:r>
        <w:rPr>
          <w:spacing w:val="6"/>
          <w:sz w:val="24"/>
        </w:rPr>
        <w:t> </w:t>
      </w:r>
      <w:r>
        <w:rPr>
          <w:sz w:val="24"/>
        </w:rPr>
        <w:t>322</w:t>
      </w:r>
      <w:r>
        <w:rPr>
          <w:spacing w:val="6"/>
          <w:sz w:val="24"/>
        </w:rPr>
        <w:t> </w:t>
      </w:r>
      <w:r>
        <w:rPr>
          <w:sz w:val="24"/>
        </w:rPr>
        <w:t>selected</w:t>
      </w:r>
      <w:r>
        <w:rPr>
          <w:spacing w:val="6"/>
          <w:sz w:val="24"/>
        </w:rPr>
        <w:t> </w:t>
      </w:r>
      <w:r>
        <w:rPr>
          <w:sz w:val="24"/>
        </w:rPr>
        <w:t>positive</w:t>
      </w:r>
      <w:r>
        <w:rPr>
          <w:spacing w:val="6"/>
          <w:sz w:val="24"/>
        </w:rPr>
        <w:t> </w:t>
      </w:r>
      <w:r>
        <w:rPr>
          <w:sz w:val="24"/>
        </w:rPr>
        <w:t>RNAs</w:t>
      </w:r>
      <w:r>
        <w:rPr>
          <w:spacing w:val="6"/>
          <w:sz w:val="24"/>
        </w:rPr>
        <w:t> </w:t>
      </w:r>
      <w:r>
        <w:rPr>
          <w:sz w:val="24"/>
        </w:rPr>
        <w:t>SARS-CoV-2</w:t>
      </w:r>
      <w:r>
        <w:rPr>
          <w:spacing w:val="6"/>
          <w:sz w:val="24"/>
        </w:rPr>
        <w:t> </w:t>
      </w:r>
      <w:r>
        <w:rPr>
          <w:sz w:val="24"/>
        </w:rPr>
        <w:t>samples.</w:t>
      </w:r>
      <w:r>
        <w:rPr>
          <w:spacing w:val="6"/>
          <w:sz w:val="24"/>
        </w:rPr>
        <w:t> </w:t>
      </w:r>
      <w:r>
        <w:rPr>
          <w:b/>
          <w:color w:val="FF0000"/>
          <w:sz w:val="24"/>
        </w:rPr>
        <w:t>(Proposed</w:t>
      </w:r>
      <w:r>
        <w:rPr>
          <w:b/>
          <w:color w:val="FF0000"/>
          <w:spacing w:val="6"/>
          <w:sz w:val="24"/>
        </w:rPr>
        <w:t> </w:t>
      </w:r>
      <w:r>
        <w:rPr>
          <w:b/>
          <w:color w:val="FF0000"/>
          <w:sz w:val="24"/>
        </w:rPr>
        <w:t>to</w:t>
      </w:r>
      <w:r>
        <w:rPr>
          <w:b/>
          <w:color w:val="FF0000"/>
          <w:spacing w:val="6"/>
          <w:sz w:val="24"/>
        </w:rPr>
        <w:t> </w:t>
      </w:r>
      <w:r>
        <w:rPr>
          <w:b/>
          <w:color w:val="FF0000"/>
          <w:sz w:val="24"/>
        </w:rPr>
        <w:t>be</w:t>
      </w:r>
      <w:r>
        <w:rPr>
          <w:b/>
          <w:color w:val="FF0000"/>
          <w:spacing w:val="6"/>
          <w:sz w:val="24"/>
        </w:rPr>
        <w:t> </w:t>
      </w:r>
      <w:r>
        <w:rPr>
          <w:b/>
          <w:color w:val="FF0000"/>
          <w:sz w:val="24"/>
        </w:rPr>
        <w:t>done</w:t>
      </w:r>
      <w:r>
        <w:rPr>
          <w:b/>
          <w:color w:val="FF0000"/>
          <w:spacing w:val="-57"/>
          <w:sz w:val="24"/>
        </w:rPr>
        <w:t> </w:t>
      </w:r>
      <w:r>
        <w:rPr>
          <w:b/>
          <w:color w:val="FF0000"/>
          <w:sz w:val="24"/>
        </w:rPr>
        <w:t>when</w:t>
      </w:r>
      <w:r>
        <w:rPr>
          <w:b/>
          <w:color w:val="FF0000"/>
          <w:spacing w:val="-1"/>
          <w:sz w:val="24"/>
        </w:rPr>
        <w:t> </w:t>
      </w:r>
      <w:r>
        <w:rPr>
          <w:b/>
          <w:color w:val="FF0000"/>
          <w:sz w:val="24"/>
        </w:rPr>
        <w:t>funded</w:t>
      </w:r>
      <w:r>
        <w:rPr>
          <w:color w:val="FF0000"/>
          <w:sz w:val="24"/>
        </w:rPr>
        <w:t>)</w:t>
      </w:r>
    </w:p>
    <w:p>
      <w:pPr>
        <w:pStyle w:val="ListParagraph"/>
        <w:numPr>
          <w:ilvl w:val="0"/>
          <w:numId w:val="1"/>
        </w:numPr>
        <w:tabs>
          <w:tab w:pos="707" w:val="left" w:leader="none"/>
        </w:tabs>
        <w:spacing w:line="274" w:lineRule="exact" w:before="0" w:after="0"/>
        <w:ind w:left="707" w:right="0" w:hanging="360"/>
        <w:jc w:val="left"/>
        <w:rPr>
          <w:sz w:val="24"/>
        </w:rPr>
      </w:pPr>
      <w:r>
        <w:rPr>
          <w:sz w:val="24"/>
        </w:rPr>
        <w:t>Evaluation</w:t>
      </w:r>
      <w:r>
        <w:rPr>
          <w:spacing w:val="-2"/>
          <w:sz w:val="24"/>
        </w:rPr>
        <w:t> </w:t>
      </w:r>
      <w:r>
        <w:rPr>
          <w:sz w:val="24"/>
        </w:rPr>
        <w:t>of</w:t>
      </w:r>
      <w:r>
        <w:rPr>
          <w:spacing w:val="-2"/>
          <w:sz w:val="24"/>
        </w:rPr>
        <w:t> </w:t>
      </w:r>
      <w:r>
        <w:rPr>
          <w:sz w:val="24"/>
        </w:rPr>
        <w:t>antiviral</w:t>
      </w:r>
      <w:r>
        <w:rPr>
          <w:spacing w:val="-2"/>
          <w:sz w:val="24"/>
        </w:rPr>
        <w:t> </w:t>
      </w:r>
      <w:r>
        <w:rPr>
          <w:sz w:val="24"/>
        </w:rPr>
        <w:t>efficacy</w:t>
      </w:r>
      <w:r>
        <w:rPr>
          <w:spacing w:val="-2"/>
          <w:sz w:val="24"/>
        </w:rPr>
        <w:t> </w:t>
      </w:r>
      <w:r>
        <w:rPr>
          <w:sz w:val="24"/>
        </w:rPr>
        <w:t>assay:</w:t>
      </w:r>
      <w:r>
        <w:rPr>
          <w:spacing w:val="-2"/>
          <w:sz w:val="24"/>
        </w:rPr>
        <w:t> </w:t>
      </w:r>
      <w:r>
        <w:rPr>
          <w:sz w:val="24"/>
        </w:rPr>
        <w:t>Remdesivir:</w:t>
      </w:r>
      <w:r>
        <w:rPr>
          <w:spacing w:val="-3"/>
          <w:sz w:val="24"/>
        </w:rPr>
        <w:t> </w:t>
      </w:r>
      <w:r>
        <w:rPr>
          <w:sz w:val="24"/>
        </w:rPr>
        <w:t>Using</w:t>
      </w:r>
      <w:r>
        <w:rPr>
          <w:spacing w:val="-1"/>
          <w:sz w:val="24"/>
        </w:rPr>
        <w:t> </w:t>
      </w:r>
      <w:r>
        <w:rPr>
          <w:sz w:val="24"/>
        </w:rPr>
        <w:t>Vero</w:t>
      </w:r>
      <w:r>
        <w:rPr>
          <w:spacing w:val="-2"/>
          <w:sz w:val="24"/>
        </w:rPr>
        <w:t> </w:t>
      </w:r>
      <w:r>
        <w:rPr>
          <w:sz w:val="24"/>
        </w:rPr>
        <w:t>E6</w:t>
      </w:r>
      <w:r>
        <w:rPr>
          <w:spacing w:val="-2"/>
          <w:sz w:val="24"/>
        </w:rPr>
        <w:t> </w:t>
      </w:r>
      <w:r>
        <w:rPr>
          <w:sz w:val="24"/>
        </w:rPr>
        <w:t>cells</w:t>
      </w:r>
    </w:p>
    <w:p>
      <w:pPr>
        <w:pStyle w:val="Heading2"/>
        <w:spacing w:before="141"/>
        <w:rPr>
          <w:b w:val="0"/>
        </w:rPr>
      </w:pPr>
      <w:r>
        <w:rPr>
          <w:color w:val="FF0000"/>
        </w:rPr>
        <w:t>(Proposed</w:t>
      </w:r>
      <w:r>
        <w:rPr>
          <w:color w:val="FF0000"/>
          <w:spacing w:val="-1"/>
        </w:rPr>
        <w:t> </w:t>
      </w:r>
      <w:r>
        <w:rPr>
          <w:color w:val="FF0000"/>
        </w:rPr>
        <w:t>to</w:t>
      </w:r>
      <w:r>
        <w:rPr>
          <w:color w:val="FF0000"/>
          <w:spacing w:val="-1"/>
        </w:rPr>
        <w:t> </w:t>
      </w:r>
      <w:r>
        <w:rPr>
          <w:color w:val="FF0000"/>
        </w:rPr>
        <w:t>be</w:t>
      </w:r>
      <w:r>
        <w:rPr>
          <w:color w:val="FF0000"/>
          <w:spacing w:val="-2"/>
        </w:rPr>
        <w:t> </w:t>
      </w:r>
      <w:r>
        <w:rPr>
          <w:color w:val="FF0000"/>
        </w:rPr>
        <w:t>done</w:t>
      </w:r>
      <w:r>
        <w:rPr>
          <w:color w:val="FF0000"/>
          <w:spacing w:val="-2"/>
        </w:rPr>
        <w:t> </w:t>
      </w:r>
      <w:r>
        <w:rPr>
          <w:color w:val="FF0000"/>
        </w:rPr>
        <w:t>when funded</w:t>
      </w:r>
      <w:r>
        <w:rPr>
          <w:b w:val="0"/>
          <w:color w:val="FF0000"/>
        </w:rPr>
        <w:t>)</w:t>
      </w:r>
    </w:p>
    <w:p>
      <w:pPr>
        <w:pStyle w:val="ListParagraph"/>
        <w:numPr>
          <w:ilvl w:val="0"/>
          <w:numId w:val="1"/>
        </w:numPr>
        <w:tabs>
          <w:tab w:pos="707" w:val="left" w:leader="none"/>
        </w:tabs>
        <w:spacing w:line="240" w:lineRule="auto" w:before="137" w:after="0"/>
        <w:ind w:left="707" w:right="0" w:hanging="360"/>
        <w:jc w:val="left"/>
        <w:rPr>
          <w:sz w:val="24"/>
        </w:rPr>
      </w:pPr>
      <w:r>
        <w:rPr>
          <w:sz w:val="24"/>
        </w:rPr>
        <w:t>Evaluation</w:t>
      </w:r>
      <w:r>
        <w:rPr>
          <w:spacing w:val="-2"/>
          <w:sz w:val="24"/>
        </w:rPr>
        <w:t> </w:t>
      </w:r>
      <w:r>
        <w:rPr>
          <w:sz w:val="24"/>
        </w:rPr>
        <w:t>of</w:t>
      </w:r>
      <w:r>
        <w:rPr>
          <w:spacing w:val="-2"/>
          <w:sz w:val="24"/>
        </w:rPr>
        <w:t> </w:t>
      </w:r>
      <w:r>
        <w:rPr>
          <w:sz w:val="24"/>
        </w:rPr>
        <w:t>polypharmacy</w:t>
      </w:r>
      <w:r>
        <w:rPr>
          <w:spacing w:val="-2"/>
          <w:sz w:val="24"/>
        </w:rPr>
        <w:t> </w:t>
      </w:r>
      <w:r>
        <w:rPr>
          <w:sz w:val="24"/>
        </w:rPr>
        <w:t>potential</w:t>
      </w:r>
      <w:r>
        <w:rPr>
          <w:spacing w:val="-1"/>
          <w:sz w:val="24"/>
        </w:rPr>
        <w:t> </w:t>
      </w:r>
      <w:r>
        <w:rPr>
          <w:sz w:val="24"/>
        </w:rPr>
        <w:t>impacts</w:t>
      </w:r>
      <w:r>
        <w:rPr>
          <w:spacing w:val="-2"/>
          <w:sz w:val="24"/>
        </w:rPr>
        <w:t> </w:t>
      </w:r>
      <w:r>
        <w:rPr>
          <w:sz w:val="24"/>
        </w:rPr>
        <w:t>of</w:t>
      </w:r>
      <w:r>
        <w:rPr>
          <w:spacing w:val="-2"/>
          <w:sz w:val="24"/>
        </w:rPr>
        <w:t> </w:t>
      </w:r>
      <w:r>
        <w:rPr>
          <w:sz w:val="24"/>
        </w:rPr>
        <w:t>patients</w:t>
      </w:r>
      <w:r>
        <w:rPr>
          <w:spacing w:val="-2"/>
          <w:sz w:val="24"/>
        </w:rPr>
        <w:t> </w:t>
      </w:r>
      <w:r>
        <w:rPr>
          <w:sz w:val="24"/>
        </w:rPr>
        <w:t>using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Swiss</w:t>
      </w:r>
      <w:r>
        <w:rPr>
          <w:spacing w:val="-2"/>
          <w:sz w:val="24"/>
        </w:rPr>
        <w:t> </w:t>
      </w:r>
      <w:r>
        <w:rPr>
          <w:sz w:val="24"/>
        </w:rPr>
        <w:t>Target</w:t>
      </w:r>
      <w:r>
        <w:rPr>
          <w:spacing w:val="-1"/>
          <w:sz w:val="24"/>
        </w:rPr>
        <w:t> </w:t>
      </w:r>
      <w:r>
        <w:rPr>
          <w:sz w:val="24"/>
        </w:rPr>
        <w:t>Prediction</w:t>
      </w:r>
      <w:r>
        <w:rPr>
          <w:spacing w:val="-2"/>
          <w:sz w:val="24"/>
        </w:rPr>
        <w:t> </w:t>
      </w:r>
      <w:r>
        <w:rPr>
          <w:sz w:val="24"/>
        </w:rPr>
        <w:t>website.</w:t>
      </w:r>
    </w:p>
    <w:p>
      <w:pPr>
        <w:pStyle w:val="Heading2"/>
        <w:spacing w:before="137"/>
      </w:pPr>
      <w:r>
        <w:rPr>
          <w:color w:val="FF0000"/>
        </w:rPr>
        <w:t>(An</w:t>
      </w:r>
      <w:r>
        <w:rPr>
          <w:color w:val="FF0000"/>
          <w:spacing w:val="-2"/>
        </w:rPr>
        <w:t> </w:t>
      </w:r>
      <w:r>
        <w:rPr>
          <w:color w:val="FF0000"/>
        </w:rPr>
        <w:t>article:</w:t>
      </w:r>
      <w:r>
        <w:rPr>
          <w:color w:val="FF0000"/>
          <w:spacing w:val="-1"/>
        </w:rPr>
        <w:t> </w:t>
      </w:r>
      <w:r>
        <w:rPr>
          <w:color w:val="FF0000"/>
        </w:rPr>
        <w:t>under</w:t>
      </w:r>
      <w:r>
        <w:rPr>
          <w:color w:val="FF0000"/>
          <w:spacing w:val="-2"/>
        </w:rPr>
        <w:t> </w:t>
      </w:r>
      <w:r>
        <w:rPr>
          <w:color w:val="FF0000"/>
        </w:rPr>
        <w:t>processing</w:t>
      </w:r>
      <w:r>
        <w:rPr>
          <w:color w:val="FF0000"/>
          <w:spacing w:val="-1"/>
        </w:rPr>
        <w:t> </w:t>
      </w:r>
      <w:r>
        <w:rPr>
          <w:color w:val="FF0000"/>
        </w:rPr>
        <w:t>to</w:t>
      </w:r>
      <w:r>
        <w:rPr>
          <w:color w:val="FF0000"/>
          <w:spacing w:val="-1"/>
        </w:rPr>
        <w:t> </w:t>
      </w:r>
      <w:r>
        <w:rPr>
          <w:color w:val="FF0000"/>
        </w:rPr>
        <w:t>be</w:t>
      </w:r>
      <w:r>
        <w:rPr>
          <w:color w:val="FF0000"/>
          <w:spacing w:val="-3"/>
        </w:rPr>
        <w:t> </w:t>
      </w:r>
      <w:r>
        <w:rPr>
          <w:color w:val="FF0000"/>
        </w:rPr>
        <w:t>done</w:t>
      </w:r>
      <w:r>
        <w:rPr>
          <w:color w:val="FF0000"/>
          <w:spacing w:val="-1"/>
        </w:rPr>
        <w:t> </w:t>
      </w:r>
      <w:r>
        <w:rPr>
          <w:color w:val="FF0000"/>
        </w:rPr>
        <w:t>in</w:t>
      </w:r>
      <w:r>
        <w:rPr>
          <w:color w:val="FF0000"/>
          <w:spacing w:val="-1"/>
        </w:rPr>
        <w:t> </w:t>
      </w:r>
      <w:r>
        <w:rPr>
          <w:color w:val="FF0000"/>
        </w:rPr>
        <w:t>March)</w:t>
      </w:r>
    </w:p>
    <w:p>
      <w:pPr>
        <w:pStyle w:val="ListParagraph"/>
        <w:numPr>
          <w:ilvl w:val="0"/>
          <w:numId w:val="1"/>
        </w:numPr>
        <w:tabs>
          <w:tab w:pos="707" w:val="left" w:leader="none"/>
        </w:tabs>
        <w:spacing w:line="240" w:lineRule="auto" w:before="137" w:after="0"/>
        <w:ind w:left="707" w:right="0" w:hanging="360"/>
        <w:jc w:val="left"/>
        <w:rPr>
          <w:b/>
          <w:sz w:val="24"/>
        </w:rPr>
      </w:pPr>
      <w:r>
        <w:rPr>
          <w:sz w:val="24"/>
        </w:rPr>
        <w:t>Detection</w:t>
      </w:r>
      <w:r>
        <w:rPr>
          <w:spacing w:val="-2"/>
          <w:sz w:val="24"/>
        </w:rPr>
        <w:t> </w:t>
      </w:r>
      <w:r>
        <w:rPr>
          <w:sz w:val="24"/>
        </w:rPr>
        <w:t>of</w:t>
      </w:r>
      <w:r>
        <w:rPr>
          <w:spacing w:val="-1"/>
          <w:sz w:val="24"/>
        </w:rPr>
        <w:t> </w:t>
      </w:r>
      <w:r>
        <w:rPr>
          <w:sz w:val="24"/>
        </w:rPr>
        <w:t>coronavirus</w:t>
      </w:r>
      <w:r>
        <w:rPr>
          <w:spacing w:val="-1"/>
          <w:sz w:val="24"/>
        </w:rPr>
        <w:t> </w:t>
      </w:r>
      <w:r>
        <w:rPr>
          <w:sz w:val="24"/>
        </w:rPr>
        <w:t>by</w:t>
      </w:r>
      <w:r>
        <w:rPr>
          <w:spacing w:val="-2"/>
          <w:sz w:val="24"/>
        </w:rPr>
        <w:t> </w:t>
      </w:r>
      <w:r>
        <w:rPr>
          <w:sz w:val="24"/>
        </w:rPr>
        <w:t>RT-PCR.</w:t>
      </w:r>
      <w:r>
        <w:rPr>
          <w:spacing w:val="-2"/>
          <w:sz w:val="24"/>
        </w:rPr>
        <w:t> </w:t>
      </w:r>
      <w:r>
        <w:rPr>
          <w:b/>
          <w:sz w:val="24"/>
        </w:rPr>
        <w:t>(Completed)</w:t>
      </w:r>
    </w:p>
    <w:p>
      <w:pPr>
        <w:pStyle w:val="BodyText"/>
        <w:rPr>
          <w:b/>
          <w:sz w:val="26"/>
        </w:rPr>
      </w:pPr>
    </w:p>
    <w:p>
      <w:pPr>
        <w:pStyle w:val="BodyText"/>
        <w:spacing w:before="2"/>
        <w:rPr>
          <w:b/>
          <w:sz w:val="22"/>
        </w:rPr>
      </w:pPr>
    </w:p>
    <w:p>
      <w:pPr>
        <w:pStyle w:val="BodyText"/>
        <w:ind w:left="707"/>
        <w:jc w:val="both"/>
      </w:pPr>
      <w:r>
        <w:rPr/>
        <w:t>The</w:t>
      </w:r>
      <w:r>
        <w:rPr>
          <w:spacing w:val="-15"/>
        </w:rPr>
        <w:t> </w:t>
      </w:r>
      <w:r>
        <w:rPr/>
        <w:t>following</w:t>
      </w:r>
      <w:r>
        <w:rPr>
          <w:spacing w:val="-14"/>
        </w:rPr>
        <w:t> </w:t>
      </w:r>
      <w:r>
        <w:rPr/>
        <w:t>evaluation</w:t>
      </w:r>
      <w:r>
        <w:rPr>
          <w:spacing w:val="-15"/>
        </w:rPr>
        <w:t> </w:t>
      </w:r>
      <w:r>
        <w:rPr/>
        <w:t>of</w:t>
      </w:r>
      <w:r>
        <w:rPr>
          <w:spacing w:val="-14"/>
        </w:rPr>
        <w:t> </w:t>
      </w:r>
      <w:r>
        <w:rPr/>
        <w:t>the</w:t>
      </w:r>
      <w:r>
        <w:rPr>
          <w:spacing w:val="-14"/>
        </w:rPr>
        <w:t> </w:t>
      </w:r>
      <w:r>
        <w:rPr/>
        <w:t>toxic</w:t>
      </w:r>
      <w:r>
        <w:rPr>
          <w:spacing w:val="-15"/>
        </w:rPr>
        <w:t> </w:t>
      </w:r>
      <w:r>
        <w:rPr/>
        <w:t>effects</w:t>
      </w:r>
      <w:r>
        <w:rPr>
          <w:spacing w:val="-14"/>
        </w:rPr>
        <w:t> </w:t>
      </w:r>
      <w:r>
        <w:rPr/>
        <w:t>of</w:t>
      </w:r>
      <w:r>
        <w:rPr>
          <w:spacing w:val="-15"/>
        </w:rPr>
        <w:t> </w:t>
      </w:r>
      <w:r>
        <w:rPr/>
        <w:t>coronavirus</w:t>
      </w:r>
      <w:r>
        <w:rPr>
          <w:spacing w:val="-14"/>
        </w:rPr>
        <w:t> </w:t>
      </w:r>
      <w:r>
        <w:rPr/>
        <w:t>by</w:t>
      </w:r>
      <w:r>
        <w:rPr>
          <w:spacing w:val="-15"/>
        </w:rPr>
        <w:t> </w:t>
      </w:r>
      <w:r>
        <w:rPr/>
        <w:t>analytical</w:t>
      </w:r>
      <w:r>
        <w:rPr>
          <w:spacing w:val="-14"/>
        </w:rPr>
        <w:t> </w:t>
      </w:r>
      <w:r>
        <w:rPr/>
        <w:t>instrumentation</w:t>
      </w:r>
      <w:r>
        <w:rPr>
          <w:spacing w:val="-14"/>
        </w:rPr>
        <w:t> </w:t>
      </w:r>
      <w:r>
        <w:rPr/>
        <w:t>has</w:t>
      </w:r>
      <w:r>
        <w:rPr>
          <w:spacing w:val="-15"/>
        </w:rPr>
        <w:t> </w:t>
      </w:r>
      <w:r>
        <w:rPr/>
        <w:t>been</w:t>
      </w:r>
      <w:r>
        <w:rPr>
          <w:spacing w:val="-14"/>
        </w:rPr>
        <w:t> </w:t>
      </w:r>
      <w:r>
        <w:rPr/>
        <w:t>done:</w:t>
      </w:r>
    </w:p>
    <w:p>
      <w:pPr>
        <w:pStyle w:val="ListParagraph"/>
        <w:numPr>
          <w:ilvl w:val="1"/>
          <w:numId w:val="1"/>
        </w:numPr>
        <w:tabs>
          <w:tab w:pos="860" w:val="left" w:leader="none"/>
        </w:tabs>
        <w:spacing w:line="360" w:lineRule="auto" w:before="137" w:after="0"/>
        <w:ind w:left="860" w:right="131" w:hanging="360"/>
        <w:jc w:val="both"/>
        <w:rPr>
          <w:b/>
          <w:sz w:val="24"/>
        </w:rPr>
      </w:pPr>
      <w:r>
        <w:rPr>
          <w:spacing w:val="-1"/>
          <w:sz w:val="24"/>
        </w:rPr>
        <w:t>Clinical</w:t>
      </w:r>
      <w:r>
        <w:rPr>
          <w:spacing w:val="-14"/>
          <w:sz w:val="24"/>
        </w:rPr>
        <w:t> </w:t>
      </w:r>
      <w:r>
        <w:rPr>
          <w:spacing w:val="-1"/>
          <w:sz w:val="24"/>
        </w:rPr>
        <w:t>pathological</w:t>
      </w:r>
      <w:r>
        <w:rPr>
          <w:spacing w:val="-14"/>
          <w:sz w:val="24"/>
        </w:rPr>
        <w:t> </w:t>
      </w:r>
      <w:r>
        <w:rPr>
          <w:sz w:val="24"/>
        </w:rPr>
        <w:t>changes</w:t>
      </w:r>
      <w:r>
        <w:rPr>
          <w:spacing w:val="-13"/>
          <w:sz w:val="24"/>
        </w:rPr>
        <w:t> </w:t>
      </w:r>
      <w:r>
        <w:rPr>
          <w:sz w:val="24"/>
        </w:rPr>
        <w:t>to</w:t>
      </w:r>
      <w:r>
        <w:rPr>
          <w:spacing w:val="-14"/>
          <w:sz w:val="24"/>
        </w:rPr>
        <w:t> </w:t>
      </w:r>
      <w:r>
        <w:rPr>
          <w:sz w:val="24"/>
        </w:rPr>
        <w:t>detect</w:t>
      </w:r>
      <w:r>
        <w:rPr>
          <w:spacing w:val="-13"/>
          <w:sz w:val="24"/>
        </w:rPr>
        <w:t> </w:t>
      </w:r>
      <w:r>
        <w:rPr>
          <w:sz w:val="24"/>
        </w:rPr>
        <w:t>toxic</w:t>
      </w:r>
      <w:r>
        <w:rPr>
          <w:spacing w:val="-14"/>
          <w:sz w:val="24"/>
        </w:rPr>
        <w:t> </w:t>
      </w:r>
      <w:r>
        <w:rPr>
          <w:sz w:val="24"/>
        </w:rPr>
        <w:t>effects</w:t>
      </w:r>
      <w:r>
        <w:rPr>
          <w:spacing w:val="-14"/>
          <w:sz w:val="24"/>
        </w:rPr>
        <w:t> </w:t>
      </w:r>
      <w:r>
        <w:rPr>
          <w:sz w:val="24"/>
        </w:rPr>
        <w:t>(e.g.,</w:t>
      </w:r>
      <w:r>
        <w:rPr>
          <w:spacing w:val="-13"/>
          <w:sz w:val="24"/>
        </w:rPr>
        <w:t> </w:t>
      </w:r>
      <w:r>
        <w:rPr>
          <w:sz w:val="24"/>
        </w:rPr>
        <w:t>Cytokines</w:t>
      </w:r>
      <w:r>
        <w:rPr>
          <w:spacing w:val="-13"/>
          <w:sz w:val="24"/>
        </w:rPr>
        <w:t> </w:t>
      </w:r>
      <w:r>
        <w:rPr>
          <w:sz w:val="24"/>
        </w:rPr>
        <w:t>“IL-6”,</w:t>
      </w:r>
      <w:r>
        <w:rPr>
          <w:spacing w:val="-13"/>
          <w:sz w:val="24"/>
        </w:rPr>
        <w:t> </w:t>
      </w:r>
      <w:r>
        <w:rPr>
          <w:sz w:val="24"/>
        </w:rPr>
        <w:t>Liver</w:t>
      </w:r>
      <w:r>
        <w:rPr>
          <w:spacing w:val="-14"/>
          <w:sz w:val="24"/>
        </w:rPr>
        <w:t> </w:t>
      </w:r>
      <w:r>
        <w:rPr>
          <w:sz w:val="24"/>
        </w:rPr>
        <w:t>function</w:t>
      </w:r>
      <w:r>
        <w:rPr>
          <w:spacing w:val="-13"/>
          <w:sz w:val="24"/>
        </w:rPr>
        <w:t> </w:t>
      </w:r>
      <w:r>
        <w:rPr>
          <w:sz w:val="24"/>
        </w:rPr>
        <w:t>tests,</w:t>
      </w:r>
      <w:r>
        <w:rPr>
          <w:spacing w:val="-13"/>
          <w:sz w:val="24"/>
        </w:rPr>
        <w:t> </w:t>
      </w:r>
      <w:r>
        <w:rPr>
          <w:sz w:val="24"/>
        </w:rPr>
        <w:t>Renal</w:t>
      </w:r>
      <w:r>
        <w:rPr>
          <w:spacing w:val="-58"/>
          <w:sz w:val="24"/>
        </w:rPr>
        <w:t> </w:t>
      </w:r>
      <w:r>
        <w:rPr>
          <w:sz w:val="24"/>
        </w:rPr>
        <w:t>function test, C-Reactive protein “CRP”, Lactate dehydrogenase, Serum ferritin, D-Dimer, Complete</w:t>
      </w:r>
      <w:r>
        <w:rPr>
          <w:spacing w:val="-57"/>
          <w:sz w:val="24"/>
        </w:rPr>
        <w:t> </w:t>
      </w:r>
      <w:r>
        <w:rPr>
          <w:sz w:val="24"/>
        </w:rPr>
        <w:t>Blood</w:t>
      </w:r>
      <w:r>
        <w:rPr>
          <w:spacing w:val="-1"/>
          <w:sz w:val="24"/>
        </w:rPr>
        <w:t> </w:t>
      </w:r>
      <w:r>
        <w:rPr>
          <w:sz w:val="24"/>
        </w:rPr>
        <w:t>Count, and Serum</w:t>
      </w:r>
      <w:r>
        <w:rPr>
          <w:spacing w:val="-1"/>
          <w:sz w:val="24"/>
        </w:rPr>
        <w:t> </w:t>
      </w:r>
      <w:r>
        <w:rPr>
          <w:sz w:val="24"/>
        </w:rPr>
        <w:t>electrolyte). </w:t>
      </w:r>
      <w:r>
        <w:rPr>
          <w:b/>
          <w:sz w:val="24"/>
        </w:rPr>
        <w:t>(Completed)</w:t>
      </w:r>
    </w:p>
    <w:p>
      <w:pPr>
        <w:pStyle w:val="ListParagraph"/>
        <w:numPr>
          <w:ilvl w:val="1"/>
          <w:numId w:val="1"/>
        </w:numPr>
        <w:tabs>
          <w:tab w:pos="860" w:val="left" w:leader="none"/>
        </w:tabs>
        <w:spacing w:line="240" w:lineRule="auto" w:before="2" w:after="0"/>
        <w:ind w:left="860" w:right="0" w:hanging="360"/>
        <w:jc w:val="both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oxidative</w:t>
      </w:r>
      <w:r>
        <w:rPr>
          <w:spacing w:val="-3"/>
          <w:sz w:val="24"/>
        </w:rPr>
        <w:t> </w:t>
      </w:r>
      <w:r>
        <w:rPr>
          <w:sz w:val="24"/>
        </w:rPr>
        <w:t>stress</w:t>
      </w:r>
      <w:r>
        <w:rPr>
          <w:spacing w:val="-2"/>
          <w:sz w:val="24"/>
        </w:rPr>
        <w:t> </w:t>
      </w:r>
      <w:r>
        <w:rPr>
          <w:sz w:val="24"/>
        </w:rPr>
        <w:t>assay</w:t>
      </w:r>
      <w:r>
        <w:rPr>
          <w:spacing w:val="-2"/>
          <w:sz w:val="24"/>
        </w:rPr>
        <w:t> </w:t>
      </w:r>
      <w:r>
        <w:rPr>
          <w:sz w:val="24"/>
        </w:rPr>
        <w:t>has</w:t>
      </w:r>
      <w:r>
        <w:rPr>
          <w:spacing w:val="-1"/>
          <w:sz w:val="24"/>
        </w:rPr>
        <w:t> </w:t>
      </w:r>
      <w:r>
        <w:rPr>
          <w:sz w:val="24"/>
        </w:rPr>
        <w:t>been</w:t>
      </w:r>
      <w:r>
        <w:rPr>
          <w:spacing w:val="-2"/>
          <w:sz w:val="24"/>
        </w:rPr>
        <w:t> </w:t>
      </w:r>
      <w:r>
        <w:rPr>
          <w:sz w:val="24"/>
        </w:rPr>
        <w:t>assessed</w:t>
      </w:r>
      <w:r>
        <w:rPr>
          <w:spacing w:val="-2"/>
          <w:sz w:val="24"/>
        </w:rPr>
        <w:t> </w:t>
      </w:r>
      <w:r>
        <w:rPr>
          <w:sz w:val="24"/>
        </w:rPr>
        <w:t>using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following</w:t>
      </w:r>
      <w:r>
        <w:rPr>
          <w:spacing w:val="-2"/>
          <w:sz w:val="24"/>
        </w:rPr>
        <w:t> </w:t>
      </w:r>
      <w:r>
        <w:rPr>
          <w:sz w:val="24"/>
        </w:rPr>
        <w:t>measurements:</w:t>
      </w:r>
    </w:p>
    <w:p>
      <w:pPr>
        <w:pStyle w:val="ListParagraph"/>
        <w:numPr>
          <w:ilvl w:val="2"/>
          <w:numId w:val="1"/>
        </w:numPr>
        <w:tabs>
          <w:tab w:pos="990" w:val="left" w:leader="none"/>
        </w:tabs>
        <w:spacing w:line="240" w:lineRule="auto" w:before="136" w:after="0"/>
        <w:ind w:left="989" w:right="0" w:hanging="107"/>
        <w:jc w:val="both"/>
        <w:rPr>
          <w:b/>
          <w:sz w:val="24"/>
        </w:rPr>
      </w:pPr>
      <w:r>
        <w:rPr>
          <w:sz w:val="24"/>
        </w:rPr>
        <w:t>Serum</w:t>
      </w:r>
      <w:r>
        <w:rPr>
          <w:spacing w:val="-3"/>
          <w:sz w:val="24"/>
        </w:rPr>
        <w:t> </w:t>
      </w:r>
      <w:r>
        <w:rPr>
          <w:sz w:val="24"/>
        </w:rPr>
        <w:t>total</w:t>
      </w:r>
      <w:r>
        <w:rPr>
          <w:spacing w:val="-2"/>
          <w:sz w:val="24"/>
        </w:rPr>
        <w:t> </w:t>
      </w:r>
      <w:r>
        <w:rPr>
          <w:sz w:val="24"/>
        </w:rPr>
        <w:t>antioxidant</w:t>
      </w:r>
      <w:r>
        <w:rPr>
          <w:spacing w:val="-3"/>
          <w:sz w:val="24"/>
        </w:rPr>
        <w:t> </w:t>
      </w:r>
      <w:r>
        <w:rPr>
          <w:sz w:val="24"/>
        </w:rPr>
        <w:t>status</w:t>
      </w:r>
      <w:r>
        <w:rPr>
          <w:spacing w:val="-1"/>
          <w:sz w:val="24"/>
        </w:rPr>
        <w:t> </w:t>
      </w:r>
      <w:r>
        <w:rPr>
          <w:sz w:val="24"/>
        </w:rPr>
        <w:t>(TAS).</w:t>
      </w:r>
      <w:r>
        <w:rPr>
          <w:spacing w:val="-2"/>
          <w:sz w:val="24"/>
        </w:rPr>
        <w:t> </w:t>
      </w:r>
      <w:r>
        <w:rPr>
          <w:b/>
          <w:sz w:val="24"/>
        </w:rPr>
        <w:t>(Completed)</w:t>
      </w:r>
    </w:p>
    <w:p>
      <w:pPr>
        <w:pStyle w:val="ListParagraph"/>
        <w:numPr>
          <w:ilvl w:val="2"/>
          <w:numId w:val="1"/>
        </w:numPr>
        <w:tabs>
          <w:tab w:pos="990" w:val="left" w:leader="none"/>
        </w:tabs>
        <w:spacing w:line="240" w:lineRule="auto" w:before="137" w:after="0"/>
        <w:ind w:left="989" w:right="0" w:hanging="107"/>
        <w:jc w:val="both"/>
        <w:rPr>
          <w:b/>
          <w:sz w:val="24"/>
        </w:rPr>
      </w:pPr>
      <w:r>
        <w:rPr>
          <w:sz w:val="24"/>
        </w:rPr>
        <w:t>Serum</w:t>
      </w:r>
      <w:r>
        <w:rPr>
          <w:spacing w:val="-3"/>
          <w:sz w:val="24"/>
        </w:rPr>
        <w:t> </w:t>
      </w:r>
      <w:r>
        <w:rPr>
          <w:sz w:val="24"/>
        </w:rPr>
        <w:t>malondialdehyde</w:t>
      </w:r>
      <w:r>
        <w:rPr>
          <w:spacing w:val="-3"/>
          <w:sz w:val="24"/>
        </w:rPr>
        <w:t> </w:t>
      </w:r>
      <w:r>
        <w:rPr>
          <w:sz w:val="24"/>
        </w:rPr>
        <w:t>(MDA).</w:t>
      </w:r>
      <w:r>
        <w:rPr>
          <w:spacing w:val="-1"/>
          <w:sz w:val="24"/>
        </w:rPr>
        <w:t> </w:t>
      </w:r>
      <w:r>
        <w:rPr>
          <w:b/>
          <w:sz w:val="24"/>
        </w:rPr>
        <w:t>(Completed)</w:t>
      </w:r>
    </w:p>
    <w:p>
      <w:pPr>
        <w:pStyle w:val="ListParagraph"/>
        <w:numPr>
          <w:ilvl w:val="1"/>
          <w:numId w:val="1"/>
        </w:numPr>
        <w:tabs>
          <w:tab w:pos="860" w:val="left" w:leader="none"/>
        </w:tabs>
        <w:spacing w:line="240" w:lineRule="auto" w:before="142" w:after="0"/>
        <w:ind w:left="860" w:right="0" w:hanging="360"/>
        <w:jc w:val="both"/>
        <w:rPr>
          <w:sz w:val="24"/>
        </w:rPr>
      </w:pPr>
      <w:r>
        <w:rPr>
          <w:sz w:val="24"/>
        </w:rPr>
        <w:t>Cholinesterase</w:t>
      </w:r>
      <w:r>
        <w:rPr>
          <w:spacing w:val="-3"/>
          <w:sz w:val="24"/>
        </w:rPr>
        <w:t> </w:t>
      </w:r>
      <w:r>
        <w:rPr>
          <w:sz w:val="24"/>
        </w:rPr>
        <w:t>activity</w:t>
      </w:r>
      <w:r>
        <w:rPr>
          <w:spacing w:val="-1"/>
          <w:sz w:val="24"/>
        </w:rPr>
        <w:t> </w:t>
      </w:r>
      <w:r>
        <w:rPr>
          <w:sz w:val="24"/>
        </w:rPr>
        <w:t>in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blood</w:t>
      </w:r>
      <w:r>
        <w:rPr>
          <w:spacing w:val="-2"/>
          <w:sz w:val="24"/>
        </w:rPr>
        <w:t> </w:t>
      </w:r>
      <w:r>
        <w:rPr>
          <w:sz w:val="24"/>
        </w:rPr>
        <w:t>and</w:t>
      </w:r>
      <w:r>
        <w:rPr>
          <w:spacing w:val="-1"/>
          <w:sz w:val="24"/>
        </w:rPr>
        <w:t> </w:t>
      </w:r>
      <w:r>
        <w:rPr>
          <w:sz w:val="24"/>
        </w:rPr>
        <w:t>its</w:t>
      </w:r>
      <w:r>
        <w:rPr>
          <w:spacing w:val="-2"/>
          <w:sz w:val="24"/>
        </w:rPr>
        <w:t> </w:t>
      </w:r>
      <w:r>
        <w:rPr>
          <w:sz w:val="24"/>
        </w:rPr>
        <w:t>susceptibility</w:t>
      </w:r>
      <w:r>
        <w:rPr>
          <w:spacing w:val="-1"/>
          <w:sz w:val="24"/>
        </w:rPr>
        <w:t> </w:t>
      </w:r>
      <w:r>
        <w:rPr>
          <w:sz w:val="24"/>
        </w:rPr>
        <w:t>to</w:t>
      </w:r>
      <w:r>
        <w:rPr>
          <w:spacing w:val="-2"/>
          <w:sz w:val="24"/>
        </w:rPr>
        <w:t> </w:t>
      </w:r>
      <w:r>
        <w:rPr>
          <w:sz w:val="24"/>
        </w:rPr>
        <w:t>inhibitors.</w:t>
      </w:r>
      <w:r>
        <w:rPr>
          <w:spacing w:val="-1"/>
          <w:sz w:val="24"/>
        </w:rPr>
        <w:t> </w:t>
      </w:r>
      <w:r>
        <w:rPr>
          <w:b/>
          <w:sz w:val="24"/>
        </w:rPr>
        <w:t>(Completed)</w:t>
      </w:r>
      <w:r>
        <w:rPr>
          <w:sz w:val="24"/>
        </w:rPr>
        <w:t>.</w:t>
      </w:r>
    </w:p>
    <w:p>
      <w:pPr>
        <w:pStyle w:val="BodyText"/>
        <w:spacing w:before="6"/>
        <w:rPr>
          <w:sz w:val="23"/>
        </w:rPr>
      </w:pPr>
    </w:p>
    <w:p>
      <w:pPr>
        <w:spacing w:before="1"/>
        <w:ind w:left="860" w:right="0" w:firstLine="0"/>
        <w:jc w:val="left"/>
        <w:rPr>
          <w:sz w:val="24"/>
        </w:rPr>
      </w:pPr>
      <w:r>
        <w:rPr>
          <w:b/>
          <w:sz w:val="24"/>
        </w:rPr>
        <w:t>Sample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Size:</w:t>
      </w:r>
      <w:r>
        <w:rPr>
          <w:b/>
          <w:spacing w:val="-2"/>
          <w:sz w:val="24"/>
        </w:rPr>
        <w:t> </w:t>
      </w:r>
      <w:r>
        <w:rPr>
          <w:sz w:val="24"/>
        </w:rPr>
        <w:t>322</w:t>
      </w:r>
      <w:r>
        <w:rPr>
          <w:spacing w:val="-1"/>
          <w:sz w:val="24"/>
        </w:rPr>
        <w:t> </w:t>
      </w:r>
      <w:r>
        <w:rPr>
          <w:sz w:val="24"/>
        </w:rPr>
        <w:t>RNAs,</w:t>
      </w:r>
      <w:r>
        <w:rPr>
          <w:spacing w:val="-1"/>
          <w:sz w:val="24"/>
        </w:rPr>
        <w:t> </w:t>
      </w:r>
      <w:r>
        <w:rPr>
          <w:sz w:val="24"/>
        </w:rPr>
        <w:t>positive</w:t>
      </w:r>
      <w:r>
        <w:rPr>
          <w:spacing w:val="-2"/>
          <w:sz w:val="24"/>
        </w:rPr>
        <w:t> </w:t>
      </w:r>
      <w:r>
        <w:rPr>
          <w:sz w:val="24"/>
        </w:rPr>
        <w:t>samples</w:t>
      </w:r>
      <w:r>
        <w:rPr>
          <w:spacing w:val="-1"/>
          <w:sz w:val="24"/>
        </w:rPr>
        <w:t> </w:t>
      </w:r>
      <w:r>
        <w:rPr>
          <w:sz w:val="24"/>
        </w:rPr>
        <w:t>of SARS-CoV-2</w:t>
      </w:r>
      <w:r>
        <w:rPr>
          <w:spacing w:val="-1"/>
          <w:sz w:val="24"/>
        </w:rPr>
        <w:t> </w:t>
      </w:r>
      <w:r>
        <w:rPr>
          <w:sz w:val="24"/>
        </w:rPr>
        <w:t>virus.</w:t>
      </w:r>
    </w:p>
    <w:p>
      <w:pPr>
        <w:spacing w:before="140"/>
        <w:ind w:left="860" w:right="0" w:firstLine="0"/>
        <w:jc w:val="left"/>
        <w:rPr>
          <w:sz w:val="18"/>
        </w:rPr>
      </w:pPr>
      <w:r>
        <w:rPr>
          <w:sz w:val="18"/>
        </w:rPr>
        <w:t>(RNA</w:t>
      </w:r>
      <w:r>
        <w:rPr>
          <w:spacing w:val="-4"/>
          <w:sz w:val="18"/>
        </w:rPr>
        <w:t> </w:t>
      </w:r>
      <w:r>
        <w:rPr>
          <w:sz w:val="18"/>
        </w:rPr>
        <w:t>extraction</w:t>
      </w:r>
      <w:r>
        <w:rPr>
          <w:spacing w:val="-4"/>
          <w:sz w:val="18"/>
        </w:rPr>
        <w:t> </w:t>
      </w:r>
      <w:r>
        <w:rPr>
          <w:sz w:val="18"/>
        </w:rPr>
        <w:t>performed</w:t>
      </w:r>
      <w:r>
        <w:rPr>
          <w:spacing w:val="-3"/>
          <w:sz w:val="18"/>
        </w:rPr>
        <w:t> </w:t>
      </w:r>
      <w:r>
        <w:rPr>
          <w:sz w:val="18"/>
        </w:rPr>
        <w:t>using</w:t>
      </w:r>
      <w:r>
        <w:rPr>
          <w:spacing w:val="-4"/>
          <w:sz w:val="18"/>
        </w:rPr>
        <w:t> </w:t>
      </w:r>
      <w:r>
        <w:rPr>
          <w:sz w:val="18"/>
        </w:rPr>
        <w:t>Nucleic</w:t>
      </w:r>
      <w:r>
        <w:rPr>
          <w:spacing w:val="-3"/>
          <w:sz w:val="18"/>
        </w:rPr>
        <w:t> </w:t>
      </w:r>
      <w:r>
        <w:rPr>
          <w:sz w:val="18"/>
        </w:rPr>
        <w:t>acid</w:t>
      </w:r>
      <w:r>
        <w:rPr>
          <w:spacing w:val="-4"/>
          <w:sz w:val="18"/>
        </w:rPr>
        <w:t> </w:t>
      </w:r>
      <w:r>
        <w:rPr>
          <w:sz w:val="18"/>
        </w:rPr>
        <w:t>isolation</w:t>
      </w:r>
      <w:r>
        <w:rPr>
          <w:spacing w:val="-3"/>
          <w:sz w:val="18"/>
        </w:rPr>
        <w:t> </w:t>
      </w:r>
      <w:r>
        <w:rPr>
          <w:sz w:val="18"/>
        </w:rPr>
        <w:t>system</w:t>
      </w:r>
      <w:r>
        <w:rPr>
          <w:spacing w:val="-4"/>
          <w:sz w:val="18"/>
        </w:rPr>
        <w:t> </w:t>
      </w:r>
      <w:r>
        <w:rPr>
          <w:sz w:val="18"/>
        </w:rPr>
        <w:t>EXM3000</w:t>
      </w:r>
      <w:r>
        <w:rPr>
          <w:spacing w:val="-3"/>
          <w:sz w:val="18"/>
        </w:rPr>
        <w:t> </w:t>
      </w:r>
      <w:r>
        <w:rPr>
          <w:sz w:val="18"/>
        </w:rPr>
        <w:t>and</w:t>
      </w:r>
      <w:r>
        <w:rPr>
          <w:spacing w:val="-4"/>
          <w:sz w:val="18"/>
        </w:rPr>
        <w:t> </w:t>
      </w:r>
      <w:r>
        <w:rPr>
          <w:sz w:val="18"/>
        </w:rPr>
        <w:t>dedicated</w:t>
      </w:r>
      <w:r>
        <w:rPr>
          <w:spacing w:val="-3"/>
          <w:sz w:val="18"/>
        </w:rPr>
        <w:t> </w:t>
      </w:r>
      <w:r>
        <w:rPr>
          <w:sz w:val="18"/>
        </w:rPr>
        <w:t>extraction</w:t>
      </w:r>
      <w:r>
        <w:rPr>
          <w:spacing w:val="-4"/>
          <w:sz w:val="18"/>
        </w:rPr>
        <w:t> </w:t>
      </w:r>
      <w:r>
        <w:rPr>
          <w:sz w:val="18"/>
        </w:rPr>
        <w:t>Zybio</w:t>
      </w:r>
      <w:r>
        <w:rPr>
          <w:spacing w:val="-3"/>
          <w:sz w:val="18"/>
        </w:rPr>
        <w:t> </w:t>
      </w:r>
      <w:r>
        <w:rPr>
          <w:sz w:val="18"/>
        </w:rPr>
        <w:t>kits).</w:t>
      </w:r>
    </w:p>
    <w:p>
      <w:pPr>
        <w:spacing w:before="100"/>
        <w:ind w:left="890" w:right="0" w:firstLine="0"/>
        <w:jc w:val="left"/>
        <w:rPr>
          <w:sz w:val="20"/>
        </w:rPr>
      </w:pPr>
      <w:r>
        <w:rPr>
          <w:color w:val="0000FF"/>
          <w:sz w:val="20"/>
          <w:u w:val="single" w:color="0000FF"/>
        </w:rPr>
        <w:t>https://</w:t>
      </w:r>
      <w:hyperlink r:id="rId12">
        <w:r>
          <w:rPr>
            <w:color w:val="0000FF"/>
            <w:sz w:val="20"/>
            <w:u w:val="single" w:color="0000FF"/>
          </w:rPr>
          <w:t>www.dlongwood.com/en/products/nucleic-acid-isolation-system-exm3000/</w:t>
        </w:r>
      </w:hyperlink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8"/>
        </w:rPr>
      </w:pPr>
    </w:p>
    <w:p>
      <w:pPr>
        <w:pStyle w:val="BodyText"/>
        <w:spacing w:before="90"/>
        <w:ind w:left="707"/>
      </w:pPr>
      <w:r>
        <w:rPr/>
        <w:t>Kind</w:t>
      </w:r>
      <w:r>
        <w:rPr>
          <w:spacing w:val="-1"/>
        </w:rPr>
        <w:t> </w:t>
      </w:r>
      <w:r>
        <w:rPr/>
        <w:t>Regards.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30"/>
        </w:rPr>
      </w:pPr>
    </w:p>
    <w:p>
      <w:pPr>
        <w:spacing w:line="302" w:lineRule="auto" w:before="1"/>
        <w:ind w:left="573" w:right="7474" w:hanging="34"/>
        <w:jc w:val="left"/>
        <w:rPr>
          <w:rFonts w:ascii="Arial MT" w:hAnsi="Arial MT"/>
          <w:sz w:val="13"/>
        </w:rPr>
      </w:pPr>
      <w:r>
        <w:rPr/>
        <w:drawing>
          <wp:anchor distT="0" distB="0" distL="0" distR="0" allowOverlap="1" layoutInCell="1" locked="0" behindDoc="0" simplePos="0" relativeHeight="5">
            <wp:simplePos x="0" y="0"/>
            <wp:positionH relativeFrom="page">
              <wp:posOffset>728014</wp:posOffset>
            </wp:positionH>
            <wp:positionV relativeFrom="paragraph">
              <wp:posOffset>410173</wp:posOffset>
            </wp:positionV>
            <wp:extent cx="1304500" cy="469392"/>
            <wp:effectExtent l="0" t="0" r="0" b="0"/>
            <wp:wrapTopAndBottom/>
            <wp:docPr id="7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4500" cy="4693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 w:hAnsi="Arial MT"/>
          <w:color w:val="0432FF"/>
          <w:sz w:val="16"/>
        </w:rPr>
        <w:t>Ghazwan Ahmed Mohammed Raouf</w:t>
      </w:r>
      <w:r>
        <w:rPr>
          <w:rFonts w:ascii="Arial MT" w:hAnsi="Arial MT"/>
          <w:color w:val="0432FF"/>
          <w:spacing w:val="1"/>
          <w:sz w:val="16"/>
        </w:rPr>
        <w:t> </w:t>
      </w:r>
      <w:r>
        <w:rPr>
          <w:rFonts w:ascii="Arial MT" w:hAnsi="Arial MT"/>
          <w:color w:val="222222"/>
          <w:sz w:val="13"/>
        </w:rPr>
        <w:t>PhD Candidate-ERASMUS+ Mobility Program</w:t>
      </w:r>
      <w:r>
        <w:rPr>
          <w:rFonts w:ascii="Arial MT" w:hAnsi="Arial MT"/>
          <w:color w:val="222222"/>
          <w:spacing w:val="-34"/>
          <w:sz w:val="13"/>
        </w:rPr>
        <w:t> </w:t>
      </w:r>
      <w:r>
        <w:rPr>
          <w:rFonts w:ascii="Arial MT" w:hAnsi="Arial MT"/>
          <w:color w:val="222222"/>
          <w:sz w:val="13"/>
        </w:rPr>
        <w:t>Università</w:t>
      </w:r>
      <w:r>
        <w:rPr>
          <w:rFonts w:ascii="Arial MT" w:hAnsi="Arial MT"/>
          <w:color w:val="222222"/>
          <w:spacing w:val="-4"/>
          <w:sz w:val="13"/>
        </w:rPr>
        <w:t> </w:t>
      </w:r>
      <w:r>
        <w:rPr>
          <w:rFonts w:ascii="Arial MT" w:hAnsi="Arial MT"/>
          <w:color w:val="222222"/>
          <w:sz w:val="13"/>
        </w:rPr>
        <w:t>degli</w:t>
      </w:r>
      <w:r>
        <w:rPr>
          <w:rFonts w:ascii="Arial MT" w:hAnsi="Arial MT"/>
          <w:color w:val="222222"/>
          <w:spacing w:val="-4"/>
          <w:sz w:val="13"/>
        </w:rPr>
        <w:t> </w:t>
      </w:r>
      <w:r>
        <w:rPr>
          <w:rFonts w:ascii="Arial MT" w:hAnsi="Arial MT"/>
          <w:color w:val="222222"/>
          <w:sz w:val="13"/>
        </w:rPr>
        <w:t>Studi</w:t>
      </w:r>
      <w:r>
        <w:rPr>
          <w:rFonts w:ascii="Arial MT" w:hAnsi="Arial MT"/>
          <w:color w:val="222222"/>
          <w:spacing w:val="-4"/>
          <w:sz w:val="13"/>
        </w:rPr>
        <w:t> </w:t>
      </w:r>
      <w:r>
        <w:rPr>
          <w:rFonts w:ascii="Arial MT" w:hAnsi="Arial MT"/>
          <w:color w:val="222222"/>
          <w:sz w:val="13"/>
        </w:rPr>
        <w:t>della</w:t>
      </w:r>
      <w:r>
        <w:rPr>
          <w:rFonts w:ascii="Arial MT" w:hAnsi="Arial MT"/>
          <w:color w:val="222222"/>
          <w:spacing w:val="-3"/>
          <w:sz w:val="13"/>
        </w:rPr>
        <w:t> </w:t>
      </w:r>
      <w:r>
        <w:rPr>
          <w:rFonts w:ascii="Arial MT" w:hAnsi="Arial MT"/>
          <w:color w:val="222222"/>
          <w:sz w:val="13"/>
        </w:rPr>
        <w:t>Tuscia-Viterbo-Italy</w:t>
      </w:r>
    </w:p>
    <w:p>
      <w:pPr>
        <w:spacing w:line="278" w:lineRule="auto" w:before="12"/>
        <w:ind w:left="584" w:right="7866" w:firstLine="0"/>
        <w:jc w:val="left"/>
        <w:rPr>
          <w:rFonts w:ascii="Arial MT"/>
          <w:sz w:val="16"/>
        </w:rPr>
      </w:pPr>
      <w:hyperlink r:id="rId14">
        <w:r>
          <w:rPr>
            <w:rFonts w:ascii="Arial MT"/>
            <w:color w:val="0432FF"/>
            <w:sz w:val="16"/>
            <w:u w:val="single" w:color="0432FF"/>
          </w:rPr>
          <w:t>http://www.unitus.i</w:t>
        </w:r>
        <w:r>
          <w:rPr>
            <w:rFonts w:ascii="Arial MT"/>
            <w:color w:val="0432FF"/>
            <w:sz w:val="16"/>
          </w:rPr>
          <w:t>t</w:t>
        </w:r>
      </w:hyperlink>
      <w:r>
        <w:rPr>
          <w:rFonts w:ascii="Arial MT"/>
          <w:color w:val="0432FF"/>
          <w:spacing w:val="1"/>
          <w:sz w:val="16"/>
        </w:rPr>
        <w:t> </w:t>
      </w:r>
      <w:hyperlink r:id="rId15">
        <w:r>
          <w:rPr>
            <w:rFonts w:ascii="Arial MT"/>
            <w:color w:val="0432FF"/>
            <w:w w:val="95"/>
            <w:sz w:val="16"/>
            <w:u w:val="single" w:color="0432FF"/>
          </w:rPr>
          <w:t>ghazwan.ahmed@unitus.i</w:t>
        </w:r>
        <w:r>
          <w:rPr>
            <w:rFonts w:ascii="Arial MT"/>
            <w:color w:val="0432FF"/>
            <w:w w:val="95"/>
            <w:sz w:val="16"/>
          </w:rPr>
          <w:t>t</w:t>
        </w:r>
      </w:hyperlink>
      <w:r>
        <w:rPr>
          <w:rFonts w:ascii="Arial MT"/>
          <w:color w:val="0432FF"/>
          <w:spacing w:val="1"/>
          <w:w w:val="95"/>
          <w:sz w:val="16"/>
        </w:rPr>
        <w:t> </w:t>
      </w:r>
      <w:r>
        <w:rPr>
          <w:rFonts w:ascii="Arial MT"/>
          <w:sz w:val="16"/>
        </w:rPr>
        <w:t>Mobile:</w:t>
      </w:r>
      <w:r>
        <w:rPr>
          <w:rFonts w:ascii="Arial MT"/>
          <w:spacing w:val="-3"/>
          <w:sz w:val="16"/>
        </w:rPr>
        <w:t> </w:t>
      </w:r>
      <w:r>
        <w:rPr>
          <w:rFonts w:ascii="Arial MT"/>
          <w:sz w:val="16"/>
        </w:rPr>
        <w:t>+393897806948</w:t>
      </w:r>
    </w:p>
    <w:sectPr>
      <w:pgSz w:w="11900" w:h="16840"/>
      <w:pgMar w:top="660" w:bottom="280" w:left="580" w:right="5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ambria">
    <w:altName w:val="Cambria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707" w:hanging="360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860" w:hanging="360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89" w:hanging="107"/>
      </w:pPr>
      <w:rPr>
        <w:rFonts w:hint="default" w:ascii="Cambria" w:hAnsi="Cambria" w:eastAsia="Cambria" w:cs="Cambria"/>
        <w:w w:val="99"/>
        <w:sz w:val="16"/>
        <w:szCs w:val="16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00" w:hanging="10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420" w:hanging="10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640" w:hanging="10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860" w:hanging="10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080" w:hanging="10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300" w:hanging="107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326" w:right="320"/>
      <w:jc w:val="center"/>
      <w:outlineLvl w:val="1"/>
    </w:pPr>
    <w:rPr>
      <w:rFonts w:ascii="Times New Roman" w:hAnsi="Times New Roman" w:eastAsia="Times New Roman" w:cs="Times New Roman"/>
      <w:b/>
      <w:bCs/>
      <w:sz w:val="32"/>
      <w:szCs w:val="32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10"/>
      <w:ind w:left="707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37"/>
      <w:ind w:left="707" w:hanging="360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jpeg"/><Relationship Id="rId12" Type="http://schemas.openxmlformats.org/officeDocument/2006/relationships/hyperlink" Target="http://www.dlongwood.com/en/products/nucleic-acid-isolation-system-exm3000/" TargetMode="External"/><Relationship Id="rId13" Type="http://schemas.openxmlformats.org/officeDocument/2006/relationships/image" Target="media/image8.jpeg"/><Relationship Id="rId14" Type="http://schemas.openxmlformats.org/officeDocument/2006/relationships/hyperlink" Target="http://www.unitus.it/" TargetMode="External"/><Relationship Id="rId15" Type="http://schemas.openxmlformats.org/officeDocument/2006/relationships/hyperlink" Target="mailto:ghazwan.ahmed@unitus.it" TargetMode="External"/><Relationship Id="rId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PhD Proposal, Italy 26-11-2022docx.docx</dc:title>
  <dcterms:created xsi:type="dcterms:W3CDTF">2022-12-20T08:45:33Z</dcterms:created>
  <dcterms:modified xsi:type="dcterms:W3CDTF">2022-12-20T08:45:33Z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2022-12-19T00:00:00Z</vt:filetime>
  </property>
  <property fmtid="{D5CDD505-2E9C-101B-9397-08002B2CF9AE}" pid="3" name="Creator">
    <vt:lpwstr>Word</vt:lpwstr>
  </property>
  <property fmtid="{D5CDD505-2E9C-101B-9397-08002B2CF9AE}" pid="4" name="LastSaved">
    <vt:filetime>2022-12-20T00:00:00Z</vt:filetime>
  </property>
</Properties>
</file>