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261" w:rsidRPr="0068114E" w:rsidRDefault="005E4261" w:rsidP="0068114E">
      <w:pPr>
        <w:rPr>
          <w:rFonts w:ascii="Times New Roman" w:hAnsi="Times New Roman" w:cs="Times New Roman"/>
          <w:b/>
          <w:sz w:val="32"/>
        </w:rPr>
      </w:pPr>
      <w:r w:rsidRPr="0068114E">
        <w:rPr>
          <w:rFonts w:ascii="Times New Roman" w:hAnsi="Times New Roman" w:cs="Times New Roman"/>
          <w:b/>
          <w:sz w:val="32"/>
        </w:rPr>
        <w:t>Potential serum biomarkers for early detection of</w:t>
      </w:r>
      <w:r w:rsidR="0068114E" w:rsidRPr="0068114E">
        <w:rPr>
          <w:rFonts w:ascii="Times New Roman" w:hAnsi="Times New Roman" w:cs="Times New Roman"/>
          <w:b/>
          <w:sz w:val="32"/>
        </w:rPr>
        <w:t xml:space="preserve"> </w:t>
      </w:r>
      <w:r w:rsidRPr="0068114E">
        <w:rPr>
          <w:rFonts w:ascii="Times New Roman" w:hAnsi="Times New Roman" w:cs="Times New Roman"/>
          <w:b/>
          <w:sz w:val="32"/>
        </w:rPr>
        <w:t>diabetic nephropathy</w:t>
      </w:r>
    </w:p>
    <w:p w:rsidR="005E4261" w:rsidRPr="0068114E" w:rsidRDefault="005E4261" w:rsidP="0068114E">
      <w:pPr>
        <w:rPr>
          <w:rFonts w:ascii="Times New Roman" w:hAnsi="Times New Roman" w:cs="Times New Roman"/>
          <w:sz w:val="24"/>
        </w:rPr>
      </w:pPr>
      <w:r w:rsidRPr="0068114E">
        <w:rPr>
          <w:rFonts w:ascii="Times New Roman" w:hAnsi="Times New Roman" w:cs="Times New Roman"/>
          <w:sz w:val="24"/>
        </w:rPr>
        <w:t>Tarek Kamal Motawi</w:t>
      </w:r>
      <w:r w:rsidR="0068114E" w:rsidRPr="0068114E">
        <w:rPr>
          <w:rFonts w:ascii="Times New Roman" w:hAnsi="Times New Roman" w:cs="Times New Roman"/>
          <w:sz w:val="24"/>
          <w:vertAlign w:val="superscript"/>
        </w:rPr>
        <w:t>1</w:t>
      </w:r>
      <w:r w:rsidRPr="0068114E">
        <w:rPr>
          <w:rFonts w:ascii="Times New Roman" w:hAnsi="Times New Roman" w:cs="Times New Roman"/>
          <w:sz w:val="24"/>
        </w:rPr>
        <w:t>, Nagwa Ibrahim Shehata</w:t>
      </w:r>
      <w:r w:rsidR="0068114E" w:rsidRPr="0068114E">
        <w:rPr>
          <w:rFonts w:ascii="Times New Roman" w:hAnsi="Times New Roman" w:cs="Times New Roman"/>
          <w:sz w:val="24"/>
          <w:vertAlign w:val="superscript"/>
        </w:rPr>
        <w:t>1</w:t>
      </w:r>
      <w:r w:rsidRPr="0068114E">
        <w:rPr>
          <w:rFonts w:ascii="Times New Roman" w:hAnsi="Times New Roman" w:cs="Times New Roman"/>
          <w:sz w:val="24"/>
        </w:rPr>
        <w:t>, Mahmoud Mohamed ElNokeety</w:t>
      </w:r>
      <w:r w:rsidR="0068114E" w:rsidRPr="0068114E">
        <w:rPr>
          <w:rFonts w:ascii="Times New Roman" w:hAnsi="Times New Roman" w:cs="Times New Roman"/>
          <w:sz w:val="24"/>
          <w:vertAlign w:val="superscript"/>
        </w:rPr>
        <w:t>1</w:t>
      </w:r>
      <w:r w:rsidR="0068114E">
        <w:rPr>
          <w:rFonts w:ascii="Times New Roman" w:hAnsi="Times New Roman" w:cs="Times New Roman"/>
          <w:sz w:val="24"/>
        </w:rPr>
        <w:t xml:space="preserve"> and Yasmin Farid El-Emady</w:t>
      </w:r>
      <w:r w:rsidR="0068114E" w:rsidRPr="0068114E">
        <w:rPr>
          <w:rFonts w:ascii="Times New Roman" w:hAnsi="Times New Roman" w:cs="Times New Roman"/>
          <w:sz w:val="24"/>
          <w:vertAlign w:val="superscript"/>
        </w:rPr>
        <w:t>2</w:t>
      </w:r>
      <w:r w:rsidRPr="0068114E">
        <w:rPr>
          <w:rFonts w:ascii="Times New Roman" w:hAnsi="Times New Roman" w:cs="Times New Roman"/>
          <w:sz w:val="24"/>
        </w:rPr>
        <w:t>*</w:t>
      </w:r>
    </w:p>
    <w:p w:rsidR="005E4261" w:rsidRPr="0068114E" w:rsidRDefault="0068114E" w:rsidP="0068114E">
      <w:pPr>
        <w:spacing w:after="0"/>
        <w:rPr>
          <w:rFonts w:ascii="Times New Roman" w:hAnsi="Times New Roman" w:cs="Times New Roman"/>
        </w:rPr>
      </w:pPr>
      <w:r w:rsidRPr="0068114E">
        <w:rPr>
          <w:rFonts w:ascii="Times New Roman" w:hAnsi="Times New Roman" w:cs="Times New Roman"/>
          <w:vertAlign w:val="superscript"/>
        </w:rPr>
        <w:t>1</w:t>
      </w:r>
      <w:r w:rsidR="005E4261" w:rsidRPr="0068114E">
        <w:rPr>
          <w:rFonts w:ascii="Times New Roman" w:hAnsi="Times New Roman" w:cs="Times New Roman"/>
        </w:rPr>
        <w:t>Cairo University, Egypt</w:t>
      </w:r>
    </w:p>
    <w:p w:rsidR="004923F9" w:rsidRPr="0068114E" w:rsidRDefault="0068114E" w:rsidP="0068114E">
      <w:pPr>
        <w:rPr>
          <w:rFonts w:ascii="Times New Roman" w:hAnsi="Times New Roman" w:cs="Times New Roman"/>
        </w:rPr>
      </w:pPr>
      <w:r w:rsidRPr="0068114E">
        <w:rPr>
          <w:rFonts w:ascii="Times New Roman" w:hAnsi="Times New Roman" w:cs="Times New Roman"/>
          <w:vertAlign w:val="superscript"/>
        </w:rPr>
        <w:t>2</w:t>
      </w:r>
      <w:r w:rsidR="005E4261" w:rsidRPr="0068114E">
        <w:rPr>
          <w:rFonts w:ascii="Times New Roman" w:hAnsi="Times New Roman" w:cs="Times New Roman"/>
        </w:rPr>
        <w:t>VACSERA</w:t>
      </w:r>
      <w:r>
        <w:rPr>
          <w:rFonts w:ascii="Times New Roman" w:hAnsi="Times New Roman" w:cs="Times New Roman"/>
        </w:rPr>
        <w:t>, Egypt</w:t>
      </w:r>
      <w:r w:rsidR="005E4261" w:rsidRPr="0068114E">
        <w:rPr>
          <w:rFonts w:ascii="Times New Roman" w:hAnsi="Times New Roman" w:cs="Times New Roman"/>
        </w:rPr>
        <w:t xml:space="preserve"> </w:t>
      </w:r>
    </w:p>
    <w:p w:rsidR="0068114E" w:rsidRPr="0068114E" w:rsidRDefault="0068114E" w:rsidP="0068114E">
      <w:pPr>
        <w:jc w:val="center"/>
        <w:rPr>
          <w:rFonts w:ascii="Times New Roman" w:hAnsi="Times New Roman" w:cs="Times New Roman"/>
          <w:b/>
          <w:sz w:val="24"/>
        </w:rPr>
      </w:pPr>
      <w:r w:rsidRPr="0068114E">
        <w:rPr>
          <w:rFonts w:ascii="Times New Roman" w:hAnsi="Times New Roman" w:cs="Times New Roman"/>
          <w:b/>
          <w:sz w:val="24"/>
        </w:rPr>
        <w:t>Abstract</w:t>
      </w:r>
    </w:p>
    <w:p w:rsidR="003E15E7" w:rsidRPr="0068114E" w:rsidRDefault="003E15E7" w:rsidP="0068114E">
      <w:pPr>
        <w:jc w:val="both"/>
        <w:rPr>
          <w:rFonts w:ascii="Times New Roman" w:hAnsi="Times New Roman" w:cs="Times New Roman"/>
          <w:sz w:val="20"/>
        </w:rPr>
      </w:pPr>
      <w:r w:rsidRPr="0068114E">
        <w:rPr>
          <w:rFonts w:ascii="Times New Roman" w:hAnsi="Times New Roman" w:cs="Times New Roman"/>
          <w:b/>
          <w:sz w:val="20"/>
        </w:rPr>
        <w:t>Aim:</w:t>
      </w:r>
      <w:r w:rsidRPr="0068114E">
        <w:rPr>
          <w:rFonts w:ascii="Times New Roman" w:hAnsi="Times New Roman" w:cs="Times New Roman"/>
          <w:sz w:val="20"/>
        </w:rPr>
        <w:t xml:space="preserve"> Diabetic </w:t>
      </w:r>
      <w:r w:rsidR="0068114E" w:rsidRPr="0068114E">
        <w:rPr>
          <w:rFonts w:ascii="Times New Roman" w:hAnsi="Times New Roman" w:cs="Times New Roman"/>
          <w:sz w:val="20"/>
        </w:rPr>
        <w:t xml:space="preserve">Nephropathy </w:t>
      </w:r>
      <w:r w:rsidRPr="0068114E">
        <w:rPr>
          <w:rFonts w:ascii="Times New Roman" w:hAnsi="Times New Roman" w:cs="Times New Roman"/>
          <w:sz w:val="20"/>
        </w:rPr>
        <w:t xml:space="preserve">(DN) is considered as one of the diabetic complications </w:t>
      </w:r>
      <w:r w:rsidR="0068114E" w:rsidRPr="0068114E">
        <w:rPr>
          <w:rFonts w:ascii="Times New Roman" w:hAnsi="Times New Roman" w:cs="Times New Roman"/>
          <w:sz w:val="20"/>
        </w:rPr>
        <w:t>affecting up</w:t>
      </w:r>
      <w:r w:rsidRPr="0068114E">
        <w:rPr>
          <w:rFonts w:ascii="Times New Roman" w:hAnsi="Times New Roman" w:cs="Times New Roman"/>
          <w:sz w:val="20"/>
        </w:rPr>
        <w:t xml:space="preserve"> to 40% of patients with type 1 or type </w:t>
      </w:r>
      <w:proofErr w:type="gramStart"/>
      <w:r w:rsidRPr="0068114E">
        <w:rPr>
          <w:rFonts w:ascii="Times New Roman" w:hAnsi="Times New Roman" w:cs="Times New Roman"/>
          <w:sz w:val="20"/>
        </w:rPr>
        <w:t>2 diabetes</w:t>
      </w:r>
      <w:proofErr w:type="gramEnd"/>
      <w:r w:rsidRPr="0068114E">
        <w:rPr>
          <w:rFonts w:ascii="Times New Roman" w:hAnsi="Times New Roman" w:cs="Times New Roman"/>
          <w:sz w:val="20"/>
        </w:rPr>
        <w:t>. In clinical practice, the frequently</w:t>
      </w:r>
      <w:r w:rsidR="0068114E">
        <w:rPr>
          <w:rFonts w:ascii="Times New Roman" w:hAnsi="Times New Roman" w:cs="Times New Roman"/>
          <w:sz w:val="20"/>
        </w:rPr>
        <w:t xml:space="preserve"> </w:t>
      </w:r>
      <w:r w:rsidRPr="0068114E">
        <w:rPr>
          <w:rFonts w:ascii="Times New Roman" w:hAnsi="Times New Roman" w:cs="Times New Roman"/>
          <w:sz w:val="20"/>
        </w:rPr>
        <w:t xml:space="preserve">used markers of renal disease and progression are serum creatinine, estimated </w:t>
      </w:r>
      <w:r w:rsidR="0068114E" w:rsidRPr="0068114E">
        <w:rPr>
          <w:rFonts w:ascii="Times New Roman" w:hAnsi="Times New Roman" w:cs="Times New Roman"/>
          <w:sz w:val="20"/>
        </w:rPr>
        <w:t>Glomerular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="0068114E" w:rsidRPr="0068114E">
        <w:rPr>
          <w:rFonts w:ascii="Times New Roman" w:hAnsi="Times New Roman" w:cs="Times New Roman"/>
          <w:sz w:val="20"/>
        </w:rPr>
        <w:t xml:space="preserve">Filtration Rate </w:t>
      </w:r>
      <w:r w:rsidRPr="0068114E">
        <w:rPr>
          <w:rFonts w:ascii="Times New Roman" w:hAnsi="Times New Roman" w:cs="Times New Roman"/>
          <w:sz w:val="20"/>
        </w:rPr>
        <w:t>(eGFR) and albuminuria.</w:t>
      </w:r>
      <w:r w:rsidR="0068114E" w:rsidRPr="0068114E">
        <w:rPr>
          <w:rFonts w:ascii="Times New Roman" w:hAnsi="Times New Roman" w:cs="Times New Roman"/>
          <w:sz w:val="20"/>
          <w:lang w:val="en-US"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The aim of this study is to determine new biomarkers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in human serum which are promising for early detection of DN.</w:t>
      </w:r>
    </w:p>
    <w:p w:rsidR="003E15E7" w:rsidRPr="0068114E" w:rsidRDefault="003E15E7" w:rsidP="0068114E">
      <w:pPr>
        <w:jc w:val="both"/>
        <w:rPr>
          <w:rFonts w:ascii="Times New Roman" w:hAnsi="Times New Roman" w:cs="Times New Roman"/>
          <w:sz w:val="20"/>
        </w:rPr>
      </w:pPr>
      <w:r w:rsidRPr="0068114E">
        <w:rPr>
          <w:rFonts w:ascii="Times New Roman" w:hAnsi="Times New Roman" w:cs="Times New Roman"/>
          <w:b/>
          <w:sz w:val="20"/>
        </w:rPr>
        <w:t>Methods:</w:t>
      </w:r>
      <w:r w:rsidRPr="0068114E">
        <w:rPr>
          <w:rFonts w:ascii="Times New Roman" w:hAnsi="Times New Roman" w:cs="Times New Roman"/>
          <w:sz w:val="20"/>
        </w:rPr>
        <w:t xml:space="preserve"> This study included 50 patients with </w:t>
      </w:r>
      <w:r w:rsidR="0068114E" w:rsidRPr="0068114E">
        <w:rPr>
          <w:rFonts w:ascii="Times New Roman" w:hAnsi="Times New Roman" w:cs="Times New Roman"/>
          <w:sz w:val="20"/>
        </w:rPr>
        <w:t xml:space="preserve">Type </w:t>
      </w:r>
      <w:r w:rsidRPr="0068114E">
        <w:rPr>
          <w:rFonts w:ascii="Times New Roman" w:hAnsi="Times New Roman" w:cs="Times New Roman"/>
          <w:sz w:val="20"/>
        </w:rPr>
        <w:t xml:space="preserve">2 </w:t>
      </w:r>
      <w:r w:rsidR="0068114E" w:rsidRPr="0068114E">
        <w:rPr>
          <w:rFonts w:ascii="Times New Roman" w:hAnsi="Times New Roman" w:cs="Times New Roman"/>
          <w:sz w:val="20"/>
        </w:rPr>
        <w:t xml:space="preserve">Diabetes Mellitus </w:t>
      </w:r>
      <w:r w:rsidRPr="0068114E">
        <w:rPr>
          <w:rFonts w:ascii="Times New Roman" w:hAnsi="Times New Roman" w:cs="Times New Roman"/>
          <w:sz w:val="20"/>
        </w:rPr>
        <w:t>(T2DM) and 25 clinically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healthy individuals. The patients were divided into two groups; group I included 25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 xml:space="preserve">T2DM patients with </w:t>
      </w:r>
      <w:r w:rsidR="0068114E" w:rsidRPr="0068114E">
        <w:rPr>
          <w:rFonts w:ascii="Times New Roman" w:hAnsi="Times New Roman" w:cs="Times New Roman"/>
          <w:sz w:val="20"/>
        </w:rPr>
        <w:t>norm albuminuria</w:t>
      </w:r>
      <w:r w:rsidR="0068114E">
        <w:rPr>
          <w:rFonts w:ascii="Times New Roman" w:hAnsi="Times New Roman" w:cs="Times New Roman"/>
          <w:sz w:val="20"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and group II consisted of 25 T2DM patients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 xml:space="preserve">with </w:t>
      </w:r>
      <w:r w:rsidR="0068114E" w:rsidRPr="0068114E">
        <w:rPr>
          <w:rFonts w:ascii="Times New Roman" w:hAnsi="Times New Roman" w:cs="Times New Roman"/>
          <w:sz w:val="20"/>
        </w:rPr>
        <w:t>micro albuminuria</w:t>
      </w:r>
      <w:r w:rsidRPr="0068114E">
        <w:rPr>
          <w:rFonts w:ascii="Times New Roman" w:hAnsi="Times New Roman" w:cs="Times New Roman"/>
          <w:sz w:val="20"/>
        </w:rPr>
        <w:t xml:space="preserve">. In all groups, </w:t>
      </w:r>
      <w:r w:rsidR="0068114E" w:rsidRPr="0068114E">
        <w:rPr>
          <w:rFonts w:ascii="Times New Roman" w:hAnsi="Times New Roman" w:cs="Times New Roman"/>
          <w:sz w:val="20"/>
        </w:rPr>
        <w:t>Neutrophil Gelatinase-Associated Lipocalin</w:t>
      </w:r>
      <w:r w:rsidRPr="0068114E">
        <w:rPr>
          <w:rFonts w:ascii="Times New Roman" w:hAnsi="Times New Roman" w:cs="Times New Roman"/>
          <w:sz w:val="20"/>
        </w:rPr>
        <w:t xml:space="preserve"> (NGAL),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b-</w:t>
      </w:r>
      <w:r w:rsidR="0068114E" w:rsidRPr="0068114E">
        <w:rPr>
          <w:rFonts w:ascii="Times New Roman" w:hAnsi="Times New Roman" w:cs="Times New Roman"/>
          <w:sz w:val="20"/>
        </w:rPr>
        <w:t xml:space="preserve">Trace Protein </w:t>
      </w:r>
      <w:r w:rsidRPr="0068114E">
        <w:rPr>
          <w:rFonts w:ascii="Times New Roman" w:hAnsi="Times New Roman" w:cs="Times New Roman"/>
          <w:sz w:val="20"/>
        </w:rPr>
        <w:t xml:space="preserve">(bTP) </w:t>
      </w:r>
      <w:r w:rsidR="0068114E">
        <w:rPr>
          <w:rFonts w:ascii="Times New Roman" w:hAnsi="Times New Roman" w:cs="Times New Roman"/>
          <w:sz w:val="20"/>
        </w:rPr>
        <w:t>and microRNA-</w:t>
      </w:r>
      <w:r w:rsidRPr="0068114E">
        <w:rPr>
          <w:rFonts w:ascii="Times New Roman" w:hAnsi="Times New Roman" w:cs="Times New Roman"/>
          <w:sz w:val="20"/>
        </w:rPr>
        <w:t>130b (miR-130b) were estimated.</w:t>
      </w:r>
    </w:p>
    <w:p w:rsidR="003E15E7" w:rsidRPr="0068114E" w:rsidRDefault="003E15E7" w:rsidP="0068114E">
      <w:pPr>
        <w:jc w:val="both"/>
        <w:rPr>
          <w:rFonts w:ascii="Times New Roman" w:hAnsi="Times New Roman" w:cs="Times New Roman"/>
          <w:sz w:val="20"/>
        </w:rPr>
      </w:pPr>
      <w:r w:rsidRPr="0068114E">
        <w:rPr>
          <w:rFonts w:ascii="Times New Roman" w:hAnsi="Times New Roman" w:cs="Times New Roman"/>
          <w:b/>
          <w:sz w:val="20"/>
        </w:rPr>
        <w:t>Results:</w:t>
      </w:r>
      <w:r w:rsidRPr="0068114E">
        <w:rPr>
          <w:rFonts w:ascii="Times New Roman" w:hAnsi="Times New Roman" w:cs="Times New Roman"/>
          <w:sz w:val="20"/>
        </w:rPr>
        <w:t xml:space="preserve"> The serum levels of NGAL and bTP were significantly elevated in T2DM patients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 xml:space="preserve">with </w:t>
      </w:r>
      <w:r w:rsidR="0068114E" w:rsidRPr="0068114E">
        <w:rPr>
          <w:rFonts w:ascii="Times New Roman" w:hAnsi="Times New Roman" w:cs="Times New Roman"/>
          <w:sz w:val="20"/>
        </w:rPr>
        <w:t>micro albuminuria</w:t>
      </w:r>
      <w:r w:rsidRPr="0068114E">
        <w:rPr>
          <w:rFonts w:ascii="Times New Roman" w:hAnsi="Times New Roman" w:cs="Times New Roman"/>
          <w:sz w:val="20"/>
        </w:rPr>
        <w:t xml:space="preserve"> (group II) compared with T2DM patients with </w:t>
      </w:r>
      <w:r w:rsidR="0068114E" w:rsidRPr="0068114E">
        <w:rPr>
          <w:rFonts w:ascii="Times New Roman" w:hAnsi="Times New Roman" w:cs="Times New Roman"/>
          <w:sz w:val="20"/>
        </w:rPr>
        <w:t>norm albuminuria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(group I) and control subjects but there was no significant difference between group I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="0068114E" w:rsidRPr="0068114E">
        <w:rPr>
          <w:rFonts w:ascii="Times New Roman" w:hAnsi="Times New Roman" w:cs="Times New Roman"/>
          <w:sz w:val="20"/>
        </w:rPr>
        <w:t xml:space="preserve">and control subjects. </w:t>
      </w:r>
      <w:r w:rsidRPr="0068114E">
        <w:rPr>
          <w:rFonts w:ascii="Times New Roman" w:hAnsi="Times New Roman" w:cs="Times New Roman"/>
          <w:sz w:val="20"/>
        </w:rPr>
        <w:t>Serum miR-130b level was significantly decreased in patients with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T2DM (groups I and II) compared with healthy control subjects, with a higher decrease in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their levels in group II compared with group I.</w:t>
      </w:r>
    </w:p>
    <w:p w:rsidR="005E4261" w:rsidRDefault="003E15E7" w:rsidP="0068114E">
      <w:pPr>
        <w:jc w:val="both"/>
        <w:rPr>
          <w:rFonts w:ascii="Times New Roman" w:hAnsi="Times New Roman" w:cs="Times New Roman"/>
          <w:sz w:val="20"/>
        </w:rPr>
      </w:pPr>
      <w:r w:rsidRPr="0068114E">
        <w:rPr>
          <w:rFonts w:ascii="Times New Roman" w:hAnsi="Times New Roman" w:cs="Times New Roman"/>
          <w:b/>
          <w:sz w:val="20"/>
        </w:rPr>
        <w:t>Conclusion:</w:t>
      </w:r>
      <w:r w:rsidRPr="0068114E">
        <w:rPr>
          <w:rFonts w:ascii="Times New Roman" w:hAnsi="Times New Roman" w:cs="Times New Roman"/>
          <w:sz w:val="20"/>
        </w:rPr>
        <w:t xml:space="preserve"> Our results suggest that serum NGAL and bTP as tubular and glomerular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markers respectively, together with serum miR-130b may be independent and reliable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biomarkers for early detection of DN in patients with T2DM</w:t>
      </w:r>
      <w:r w:rsidR="0068114E">
        <w:rPr>
          <w:rFonts w:ascii="Times New Roman" w:hAnsi="Times New Roman" w:cs="Times New Roman"/>
          <w:sz w:val="20"/>
        </w:rPr>
        <w:t>.</w:t>
      </w:r>
    </w:p>
    <w:p w:rsidR="0068114E" w:rsidRDefault="0068114E" w:rsidP="0068114E">
      <w:pPr>
        <w:rPr>
          <w:rFonts w:ascii="Times New Roman" w:hAnsi="Times New Roman" w:cs="Times New Roman"/>
          <w:b/>
          <w:sz w:val="24"/>
        </w:rPr>
      </w:pPr>
      <w:commentRangeStart w:id="0"/>
      <w:r w:rsidRPr="0068114E">
        <w:rPr>
          <w:rFonts w:ascii="Times New Roman" w:hAnsi="Times New Roman" w:cs="Times New Roman"/>
          <w:b/>
          <w:sz w:val="24"/>
        </w:rPr>
        <w:t>Biography</w:t>
      </w:r>
      <w:commentRangeEnd w:id="0"/>
      <w:r>
        <w:rPr>
          <w:rStyle w:val="CommentReference"/>
        </w:rPr>
        <w:commentReference w:id="0"/>
      </w:r>
    </w:p>
    <w:p w:rsidR="0068114E" w:rsidRPr="0068114E" w:rsidRDefault="0068114E" w:rsidP="0068114E">
      <w:pPr>
        <w:rPr>
          <w:rFonts w:ascii="Times New Roman" w:hAnsi="Times New Roman" w:cs="Times New Roman"/>
          <w:b/>
          <w:sz w:val="24"/>
          <w:rtl/>
        </w:rPr>
      </w:pPr>
      <w:bookmarkStart w:id="1" w:name="_GoBack"/>
      <w:bookmarkEnd w:id="1"/>
    </w:p>
    <w:sectPr w:rsidR="0068114E" w:rsidRPr="0068114E" w:rsidSect="004923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12-17T11:03:00Z" w:initials="SS">
    <w:p w:rsidR="00F374DF" w:rsidRPr="005C44CD" w:rsidRDefault="0068114E" w:rsidP="00F374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ommentReference"/>
        </w:rPr>
        <w:annotationRef/>
      </w:r>
      <w:r w:rsidR="00F374DF" w:rsidRPr="005C44CD">
        <w:rPr>
          <w:rFonts w:ascii="Times New Roman" w:hAnsi="Times New Roman" w:cs="Times New Roman"/>
          <w:sz w:val="24"/>
          <w:szCs w:val="24"/>
          <w:shd w:val="clear" w:color="auto" w:fill="FFFFFF"/>
        </w:rPr>
        <w:t>Dr. Tarek Mohamed Kamal Mohamed Metawie, Professor of Biochemistry, Faculty of Pharmacy, Cairo University. Egyptian, date of birth 6/3/1955. Ph.D. in Pharmaceutical Sciences, 1984; M.Sc. in Pharmaceutical Sciences, 1979; B.Sc. in Pharmaceutical Sciences, Faculty of Pharmacy, Cairo University, 1976.</w:t>
      </w:r>
    </w:p>
    <w:p w:rsidR="0068114E" w:rsidRDefault="0068114E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261"/>
    <w:rsid w:val="00123EDA"/>
    <w:rsid w:val="003E15E7"/>
    <w:rsid w:val="004770E7"/>
    <w:rsid w:val="004923F9"/>
    <w:rsid w:val="005E4261"/>
    <w:rsid w:val="0068114E"/>
    <w:rsid w:val="00E53407"/>
    <w:rsid w:val="00F3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811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11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11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11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1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811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11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11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11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1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Tarek Motawi</dc:creator>
  <cp:lastModifiedBy>Asia Pacific Gereatrics</cp:lastModifiedBy>
  <cp:revision>2</cp:revision>
  <dcterms:created xsi:type="dcterms:W3CDTF">2022-12-17T05:36:00Z</dcterms:created>
  <dcterms:modified xsi:type="dcterms:W3CDTF">2022-12-17T05:36:00Z</dcterms:modified>
</cp:coreProperties>
</file>