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1A" w:rsidRPr="00AB381A" w:rsidRDefault="00AB381A" w:rsidP="00AB381A">
      <w:pPr>
        <w:rPr>
          <w:rFonts w:ascii="Times New Roman" w:hAnsi="Times New Roman" w:cs="Times New Roman"/>
          <w:b/>
          <w:sz w:val="32"/>
        </w:rPr>
      </w:pPr>
      <w:r w:rsidRPr="00AB381A">
        <w:rPr>
          <w:rFonts w:ascii="Times New Roman" w:hAnsi="Times New Roman" w:cs="Times New Roman"/>
          <w:b/>
          <w:sz w:val="32"/>
        </w:rPr>
        <w:t xml:space="preserve">Closed or unclosed mesentery: </w:t>
      </w:r>
      <w:r w:rsidRPr="00AB381A">
        <w:rPr>
          <w:rFonts w:ascii="Times New Roman" w:hAnsi="Times New Roman" w:cs="Times New Roman"/>
          <w:b/>
          <w:sz w:val="32"/>
        </w:rPr>
        <w:t xml:space="preserve">A meta-analysis of </w:t>
      </w:r>
      <w:r w:rsidRPr="00AB381A">
        <w:rPr>
          <w:rFonts w:ascii="Times New Roman" w:hAnsi="Times New Roman" w:cs="Times New Roman"/>
          <w:b/>
          <w:sz w:val="32"/>
        </w:rPr>
        <w:t xml:space="preserve">Internal Herniation </w:t>
      </w:r>
      <w:r w:rsidRPr="00AB381A">
        <w:rPr>
          <w:rFonts w:ascii="Times New Roman" w:hAnsi="Times New Roman" w:cs="Times New Roman"/>
          <w:b/>
          <w:sz w:val="32"/>
        </w:rPr>
        <w:t xml:space="preserve">(IH) after laparoscopic Roux-en-Y </w:t>
      </w:r>
      <w:r w:rsidRPr="00AB381A">
        <w:rPr>
          <w:rFonts w:ascii="Times New Roman" w:hAnsi="Times New Roman" w:cs="Times New Roman"/>
          <w:b/>
          <w:sz w:val="32"/>
        </w:rPr>
        <w:t xml:space="preserve">Gastric Bypass </w:t>
      </w:r>
      <w:r w:rsidRPr="00AB381A">
        <w:rPr>
          <w:rFonts w:ascii="Times New Roman" w:hAnsi="Times New Roman" w:cs="Times New Roman"/>
          <w:b/>
          <w:sz w:val="32"/>
        </w:rPr>
        <w:t>(LRYGB)</w:t>
      </w:r>
    </w:p>
    <w:p w:rsidR="00AB381A" w:rsidRPr="00AB381A" w:rsidRDefault="00AB381A" w:rsidP="00AB381A">
      <w:pPr>
        <w:rPr>
          <w:rFonts w:ascii="Times New Roman" w:hAnsi="Times New Roman" w:cs="Times New Roman"/>
          <w:sz w:val="24"/>
        </w:rPr>
      </w:pPr>
      <w:proofErr w:type="spellStart"/>
      <w:r w:rsidRPr="00AB381A">
        <w:rPr>
          <w:rFonts w:ascii="Times New Roman" w:hAnsi="Times New Roman" w:cs="Times New Roman"/>
          <w:sz w:val="24"/>
        </w:rPr>
        <w:t>Qian</w:t>
      </w:r>
      <w:proofErr w:type="spellEnd"/>
      <w:r w:rsidRPr="00AB381A">
        <w:rPr>
          <w:rFonts w:ascii="Times New Roman" w:hAnsi="Times New Roman" w:cs="Times New Roman"/>
          <w:sz w:val="24"/>
        </w:rPr>
        <w:t xml:space="preserve">-Long Wu, </w:t>
      </w:r>
      <w:proofErr w:type="spellStart"/>
      <w:r w:rsidRPr="00AB381A">
        <w:rPr>
          <w:rFonts w:ascii="Times New Roman" w:hAnsi="Times New Roman" w:cs="Times New Roman"/>
          <w:sz w:val="24"/>
        </w:rPr>
        <w:t>Quan</w:t>
      </w:r>
      <w:proofErr w:type="spellEnd"/>
      <w:r w:rsidRPr="00AB381A">
        <w:rPr>
          <w:rFonts w:ascii="Times New Roman" w:hAnsi="Times New Roman" w:cs="Times New Roman"/>
          <w:sz w:val="24"/>
        </w:rPr>
        <w:t xml:space="preserve">-Zhen Liu, Ying-Yun Xi, Xiao-Qing Deng, Tong-Shan </w:t>
      </w:r>
      <w:proofErr w:type="spellStart"/>
      <w:r w:rsidRPr="00AB381A">
        <w:rPr>
          <w:rFonts w:ascii="Times New Roman" w:hAnsi="Times New Roman" w:cs="Times New Roman"/>
          <w:sz w:val="24"/>
        </w:rPr>
        <w:t>Xu</w:t>
      </w:r>
      <w:proofErr w:type="spellEnd"/>
      <w:r w:rsidRPr="00AB381A">
        <w:rPr>
          <w:rFonts w:ascii="Times New Roman" w:hAnsi="Times New Roman" w:cs="Times New Roman"/>
          <w:sz w:val="24"/>
        </w:rPr>
        <w:t xml:space="preserve"> and </w:t>
      </w:r>
      <w:proofErr w:type="spellStart"/>
      <w:r w:rsidRPr="00AB381A">
        <w:rPr>
          <w:rFonts w:ascii="Times New Roman" w:hAnsi="Times New Roman" w:cs="Times New Roman"/>
          <w:sz w:val="24"/>
        </w:rPr>
        <w:t>Zi</w:t>
      </w:r>
      <w:proofErr w:type="spellEnd"/>
      <w:r w:rsidRPr="00AB381A">
        <w:rPr>
          <w:rFonts w:ascii="Times New Roman" w:hAnsi="Times New Roman" w:cs="Times New Roman"/>
          <w:sz w:val="24"/>
        </w:rPr>
        <w:t xml:space="preserve">-Chun </w:t>
      </w:r>
      <w:proofErr w:type="spellStart"/>
      <w:r w:rsidRPr="00AB381A">
        <w:rPr>
          <w:rFonts w:ascii="Times New Roman" w:hAnsi="Times New Roman" w:cs="Times New Roman"/>
          <w:sz w:val="24"/>
        </w:rPr>
        <w:t>Xie</w:t>
      </w:r>
      <w:proofErr w:type="spellEnd"/>
    </w:p>
    <w:p w:rsidR="00AB381A" w:rsidRPr="00AB381A" w:rsidRDefault="00AB381A" w:rsidP="00AB381A">
      <w:pPr>
        <w:rPr>
          <w:rFonts w:ascii="Times New Roman" w:hAnsi="Times New Roman" w:cs="Times New Roman"/>
        </w:rPr>
      </w:pPr>
      <w:r w:rsidRPr="00AB381A">
        <w:rPr>
          <w:rFonts w:ascii="Times New Roman" w:hAnsi="Times New Roman" w:cs="Times New Roman"/>
        </w:rPr>
        <w:t xml:space="preserve">Guangzhou Medical University, </w:t>
      </w:r>
      <w:r>
        <w:rPr>
          <w:rFonts w:ascii="Times New Roman" w:hAnsi="Times New Roman" w:cs="Times New Roman"/>
        </w:rPr>
        <w:t>China</w:t>
      </w:r>
    </w:p>
    <w:p w:rsidR="00AB381A" w:rsidRPr="00AB381A" w:rsidRDefault="00AB381A" w:rsidP="00AB381A">
      <w:pPr>
        <w:jc w:val="center"/>
        <w:rPr>
          <w:rFonts w:ascii="Times New Roman" w:hAnsi="Times New Roman" w:cs="Times New Roman"/>
          <w:b/>
          <w:sz w:val="24"/>
        </w:rPr>
      </w:pPr>
      <w:r w:rsidRPr="00AB381A">
        <w:rPr>
          <w:rFonts w:ascii="Times New Roman" w:hAnsi="Times New Roman" w:cs="Times New Roman"/>
          <w:b/>
          <w:sz w:val="24"/>
        </w:rPr>
        <w:t>Abstract</w:t>
      </w:r>
    </w:p>
    <w:p w:rsidR="00AB381A" w:rsidRPr="00AB381A" w:rsidRDefault="00AB381A" w:rsidP="00AB381A">
      <w:pPr>
        <w:jc w:val="both"/>
        <w:rPr>
          <w:rFonts w:ascii="Times New Roman" w:hAnsi="Times New Roman" w:cs="Times New Roman"/>
          <w:sz w:val="20"/>
        </w:rPr>
      </w:pPr>
      <w:r w:rsidRPr="00AB381A">
        <w:rPr>
          <w:rFonts w:ascii="Times New Roman" w:hAnsi="Times New Roman" w:cs="Times New Roman"/>
          <w:b/>
          <w:sz w:val="20"/>
        </w:rPr>
        <w:t>Aim</w:t>
      </w:r>
      <w:r w:rsidRPr="00AB381A">
        <w:rPr>
          <w:rFonts w:ascii="Times New Roman" w:hAnsi="Times New Roman" w:cs="Times New Roman"/>
          <w:b/>
          <w:sz w:val="20"/>
        </w:rPr>
        <w:t>:</w:t>
      </w:r>
      <w:r w:rsidRPr="00AB381A">
        <w:rPr>
          <w:rFonts w:ascii="Times New Roman" w:hAnsi="Times New Roman" w:cs="Times New Roman"/>
          <w:sz w:val="20"/>
        </w:rPr>
        <w:t xml:space="preserve"> During laparoscopic Roux-en-Y gastric bypass procedure, closing mesentery or not was still controversial according to preexisted studies. So, the current meta-analysis aimed to compare the outcome of closure </w:t>
      </w:r>
      <w:r w:rsidRPr="00AB381A">
        <w:rPr>
          <w:rFonts w:ascii="Times New Roman" w:hAnsi="Times New Roman" w:cs="Times New Roman"/>
          <w:i/>
          <w:sz w:val="20"/>
        </w:rPr>
        <w:t>versus</w:t>
      </w:r>
      <w:r w:rsidRPr="00AB381A">
        <w:rPr>
          <w:rFonts w:ascii="Times New Roman" w:hAnsi="Times New Roman" w:cs="Times New Roman"/>
          <w:sz w:val="20"/>
        </w:rPr>
        <w:t xml:space="preserve"> non-closure of mesenteric defects in laparoscopic Roux-en-Y gastric bypass. </w:t>
      </w:r>
    </w:p>
    <w:p w:rsidR="00AB381A" w:rsidRDefault="00AB381A" w:rsidP="00AB381A">
      <w:pPr>
        <w:jc w:val="both"/>
        <w:rPr>
          <w:rFonts w:ascii="Times New Roman" w:hAnsi="Times New Roman" w:cs="Times New Roman"/>
          <w:sz w:val="20"/>
        </w:rPr>
      </w:pPr>
      <w:r w:rsidRPr="00AB381A">
        <w:rPr>
          <w:rFonts w:ascii="Times New Roman" w:hAnsi="Times New Roman" w:cs="Times New Roman"/>
          <w:b/>
          <w:sz w:val="20"/>
        </w:rPr>
        <w:t>Methods:</w:t>
      </w:r>
      <w:r w:rsidRPr="00AB381A">
        <w:rPr>
          <w:rFonts w:ascii="Times New Roman" w:hAnsi="Times New Roman" w:cs="Times New Roman"/>
          <w:sz w:val="20"/>
        </w:rPr>
        <w:t xml:space="preserve"> A literature search was conducted in PubMed, EMBASE, Scopus</w:t>
      </w:r>
      <w:r>
        <w:rPr>
          <w:rFonts w:ascii="Times New Roman" w:hAnsi="Times New Roman" w:cs="Times New Roman"/>
          <w:sz w:val="20"/>
        </w:rPr>
        <w:t xml:space="preserve"> and</w:t>
      </w:r>
      <w:r w:rsidRPr="00AB381A">
        <w:rPr>
          <w:rFonts w:ascii="Times New Roman" w:hAnsi="Times New Roman" w:cs="Times New Roman"/>
          <w:sz w:val="20"/>
        </w:rPr>
        <w:t xml:space="preserve"> Cochrane Library databases using the keywords Mesentery, Internal hernia</w:t>
      </w:r>
      <w:r>
        <w:rPr>
          <w:rFonts w:ascii="Times New Roman" w:hAnsi="Times New Roman" w:cs="Times New Roman"/>
          <w:sz w:val="20"/>
        </w:rPr>
        <w:t xml:space="preserve"> and</w:t>
      </w:r>
      <w:r w:rsidRPr="00AB381A">
        <w:rPr>
          <w:rFonts w:ascii="Times New Roman" w:hAnsi="Times New Roman" w:cs="Times New Roman"/>
          <w:sz w:val="20"/>
        </w:rPr>
        <w:t xml:space="preserve"> Laparoscopy up to August 2, 2022. After searching, the process of selecting the literature that we got and extracting data was performed independently by two reviewers. Besides, we used the Cochrane risk of bias tool to assess the literature we included.</w:t>
      </w:r>
    </w:p>
    <w:p w:rsidR="00AB381A" w:rsidRPr="00AB381A" w:rsidRDefault="00AB381A" w:rsidP="00AB381A">
      <w:pPr>
        <w:jc w:val="both"/>
        <w:rPr>
          <w:rFonts w:ascii="Times New Roman" w:hAnsi="Times New Roman" w:cs="Times New Roman"/>
          <w:sz w:val="20"/>
        </w:rPr>
      </w:pPr>
      <w:r w:rsidRPr="00AB381A">
        <w:rPr>
          <w:rFonts w:ascii="Times New Roman" w:hAnsi="Times New Roman" w:cs="Times New Roman"/>
          <w:b/>
          <w:sz w:val="20"/>
        </w:rPr>
        <w:t>Results:</w:t>
      </w:r>
      <w:r w:rsidRPr="00AB381A">
        <w:rPr>
          <w:rFonts w:ascii="Times New Roman" w:hAnsi="Times New Roman" w:cs="Times New Roman"/>
          <w:sz w:val="20"/>
        </w:rPr>
        <w:t xml:space="preserve"> Fifteen studies were included, enrolling 53,488 patients. Based on the outcome of subgroup analysis, the closure of the mesenteric defects showed a low incidence of IH in patients with &gt;41 years (OR 2.62 [95% CI 1.89</w:t>
      </w:r>
      <w:proofErr w:type="gramStart"/>
      <w:r w:rsidRPr="00AB381A">
        <w:rPr>
          <w:rFonts w:ascii="Times New Roman" w:hAnsi="Times New Roman" w:cs="Times New Roman"/>
          <w:sz w:val="20"/>
        </w:rPr>
        <w:t>,3.63</w:t>
      </w:r>
      <w:proofErr w:type="gramEnd"/>
      <w:r w:rsidRPr="00AB381A">
        <w:rPr>
          <w:rFonts w:ascii="Times New Roman" w:hAnsi="Times New Roman" w:cs="Times New Roman"/>
          <w:sz w:val="20"/>
        </w:rPr>
        <w:t xml:space="preserve">]; </w:t>
      </w:r>
      <w:r>
        <w:rPr>
          <w:rFonts w:ascii="Times New Roman" w:hAnsi="Times New Roman" w:cs="Times New Roman"/>
          <w:sz w:val="20"/>
        </w:rPr>
        <w:t>p</w:t>
      </w:r>
      <w:r w:rsidRPr="00AB381A">
        <w:rPr>
          <w:rFonts w:ascii="Times New Roman" w:hAnsi="Times New Roman" w:cs="Times New Roman"/>
          <w:sz w:val="20"/>
        </w:rPr>
        <w:t>&lt;0.00001) and for Mean age</w:t>
      </w:r>
      <w:r>
        <w:rPr>
          <w:rFonts w:ascii="Times New Roman" w:hAnsi="Times New Roman" w:cs="Times New Roman"/>
          <w:sz w:val="20"/>
        </w:rPr>
        <w:t xml:space="preserve"> </w:t>
      </w:r>
      <w:r w:rsidRPr="00AB381A">
        <w:rPr>
          <w:rFonts w:ascii="Times New Roman" w:hAnsi="Times New Roman" w:cs="Times New Roman"/>
          <w:sz w:val="20"/>
        </w:rPr>
        <w:t>≤</w:t>
      </w:r>
      <w:r>
        <w:rPr>
          <w:rFonts w:ascii="Times New Roman" w:hAnsi="Times New Roman" w:cs="Times New Roman"/>
          <w:sz w:val="20"/>
        </w:rPr>
        <w:t xml:space="preserve"> </w:t>
      </w:r>
      <w:r w:rsidRPr="00AB381A">
        <w:rPr>
          <w:rFonts w:ascii="Times New Roman" w:hAnsi="Times New Roman" w:cs="Times New Roman"/>
          <w:sz w:val="20"/>
        </w:rPr>
        <w:t>41 years</w:t>
      </w:r>
      <w:r>
        <w:rPr>
          <w:rFonts w:ascii="Times New Roman" w:hAnsi="Times New Roman" w:cs="Times New Roman"/>
          <w:sz w:val="20"/>
        </w:rPr>
        <w:t xml:space="preserve"> (OR 1.52 [95% CI 1.06,2.18]; p</w:t>
      </w:r>
      <w:r w:rsidRPr="00AB381A">
        <w:rPr>
          <w:rFonts w:ascii="Times New Roman" w:hAnsi="Times New Roman" w:cs="Times New Roman"/>
          <w:sz w:val="20"/>
        </w:rPr>
        <w:t xml:space="preserve">=0.02). Moreover, the closure of the mesenteric defects excels non-closure in terms of </w:t>
      </w:r>
      <w:proofErr w:type="spellStart"/>
      <w:r w:rsidRPr="00AB381A">
        <w:rPr>
          <w:rFonts w:ascii="Times New Roman" w:hAnsi="Times New Roman" w:cs="Times New Roman"/>
          <w:sz w:val="20"/>
        </w:rPr>
        <w:t>Jejunal</w:t>
      </w:r>
      <w:proofErr w:type="spellEnd"/>
      <w:r w:rsidRPr="00AB381A">
        <w:rPr>
          <w:rFonts w:ascii="Times New Roman" w:hAnsi="Times New Roman" w:cs="Times New Roman"/>
          <w:sz w:val="20"/>
        </w:rPr>
        <w:t xml:space="preserve"> mesenteric site where IH occurred</w:t>
      </w:r>
      <w:r>
        <w:rPr>
          <w:rFonts w:ascii="Times New Roman" w:hAnsi="Times New Roman" w:cs="Times New Roman"/>
          <w:sz w:val="20"/>
        </w:rPr>
        <w:t xml:space="preserve"> (OR 3.01 [95% CI 1.91,4.75]; p</w:t>
      </w:r>
      <w:r w:rsidRPr="00AB381A">
        <w:rPr>
          <w:rFonts w:ascii="Times New Roman" w:hAnsi="Times New Roman" w:cs="Times New Roman"/>
          <w:sz w:val="20"/>
        </w:rPr>
        <w:t>&lt;0.00001), hospital days (M</w:t>
      </w:r>
      <w:r>
        <w:rPr>
          <w:rFonts w:ascii="Times New Roman" w:hAnsi="Times New Roman" w:cs="Times New Roman"/>
          <w:sz w:val="20"/>
        </w:rPr>
        <w:t>D 0.49 [95% CI 0.35,0.64]; p</w:t>
      </w:r>
      <w:r w:rsidRPr="00AB381A">
        <w:rPr>
          <w:rFonts w:ascii="Times New Roman" w:hAnsi="Times New Roman" w:cs="Times New Roman"/>
          <w:sz w:val="20"/>
        </w:rPr>
        <w:t xml:space="preserve">&lt;0.00001), reoperation </w:t>
      </w:r>
      <w:r>
        <w:rPr>
          <w:rFonts w:ascii="Times New Roman" w:hAnsi="Times New Roman" w:cs="Times New Roman"/>
          <w:sz w:val="20"/>
        </w:rPr>
        <w:t>(OR 2.18 [95% CI−2.04,2.33]; p</w:t>
      </w:r>
      <w:r w:rsidRPr="00AB381A">
        <w:rPr>
          <w:rFonts w:ascii="Times New Roman" w:hAnsi="Times New Roman" w:cs="Times New Roman"/>
          <w:sz w:val="20"/>
        </w:rPr>
        <w:t>&lt;0.00001), while the non-closure of the mesenteric defects was superior to closure in regard to operative time usin</w:t>
      </w:r>
      <w:r>
        <w:rPr>
          <w:rFonts w:ascii="Times New Roman" w:hAnsi="Times New Roman" w:cs="Times New Roman"/>
          <w:sz w:val="20"/>
        </w:rPr>
        <w:t>g absorbable sutures purely (MD-15.00 [95% CI -17.31,</w:t>
      </w:r>
      <w:r w:rsidRPr="00AB381A">
        <w:rPr>
          <w:rFonts w:ascii="Times New Roman" w:hAnsi="Times New Roman" w:cs="Times New Roman"/>
          <w:sz w:val="20"/>
        </w:rPr>
        <w:t>-1</w:t>
      </w:r>
      <w:r>
        <w:rPr>
          <w:rFonts w:ascii="Times New Roman" w:hAnsi="Times New Roman" w:cs="Times New Roman"/>
          <w:sz w:val="20"/>
        </w:rPr>
        <w:t>2.69]; p</w:t>
      </w:r>
      <w:r w:rsidRPr="00AB381A">
        <w:rPr>
          <w:rFonts w:ascii="Times New Roman" w:hAnsi="Times New Roman" w:cs="Times New Roman"/>
          <w:sz w:val="20"/>
        </w:rPr>
        <w:t xml:space="preserve">&lt;0.00001). No difference was found between the two groups regarding Petersen’s and </w:t>
      </w:r>
      <w:proofErr w:type="spellStart"/>
      <w:r w:rsidRPr="00AB381A">
        <w:rPr>
          <w:rFonts w:ascii="Times New Roman" w:hAnsi="Times New Roman" w:cs="Times New Roman"/>
          <w:sz w:val="20"/>
        </w:rPr>
        <w:t>Jejunal</w:t>
      </w:r>
      <w:proofErr w:type="spellEnd"/>
      <w:r w:rsidRPr="00AB381A">
        <w:rPr>
          <w:rFonts w:ascii="Times New Roman" w:hAnsi="Times New Roman" w:cs="Times New Roman"/>
          <w:sz w:val="20"/>
        </w:rPr>
        <w:t xml:space="preserve"> </w:t>
      </w:r>
      <w:proofErr w:type="spellStart"/>
      <w:r w:rsidRPr="00AB381A">
        <w:rPr>
          <w:rFonts w:ascii="Times New Roman" w:hAnsi="Times New Roman" w:cs="Times New Roman"/>
          <w:sz w:val="20"/>
        </w:rPr>
        <w:t>mesenteric’s</w:t>
      </w:r>
      <w:proofErr w:type="spellEnd"/>
      <w:r w:rsidRPr="00AB381A">
        <w:rPr>
          <w:rFonts w:ascii="Times New Roman" w:hAnsi="Times New Roman" w:cs="Times New Roman"/>
          <w:sz w:val="20"/>
        </w:rPr>
        <w:t xml:space="preserve"> IH, small bowel obstruction, anastomosis ulcer, stenosis, leakage, bleeding, gastrointestinal perforation</w:t>
      </w:r>
      <w:r>
        <w:rPr>
          <w:rFonts w:ascii="Times New Roman" w:hAnsi="Times New Roman" w:cs="Times New Roman"/>
          <w:sz w:val="20"/>
        </w:rPr>
        <w:t xml:space="preserve"> and</w:t>
      </w:r>
      <w:r w:rsidRPr="00AB381A">
        <w:rPr>
          <w:rFonts w:ascii="Times New Roman" w:hAnsi="Times New Roman" w:cs="Times New Roman"/>
          <w:sz w:val="20"/>
        </w:rPr>
        <w:t xml:space="preserve"> postoperative BMI of patients.</w:t>
      </w:r>
    </w:p>
    <w:p w:rsidR="00474203" w:rsidRDefault="00AB381A" w:rsidP="00AB381A">
      <w:pPr>
        <w:jc w:val="both"/>
        <w:rPr>
          <w:rFonts w:ascii="Times New Roman" w:hAnsi="Times New Roman" w:cs="Times New Roman"/>
          <w:sz w:val="20"/>
        </w:rPr>
      </w:pPr>
      <w:r w:rsidRPr="00AB381A">
        <w:rPr>
          <w:rFonts w:ascii="Times New Roman" w:hAnsi="Times New Roman" w:cs="Times New Roman"/>
          <w:b/>
          <w:sz w:val="20"/>
        </w:rPr>
        <w:t>Conclusions:</w:t>
      </w:r>
      <w:r w:rsidRPr="00AB381A">
        <w:rPr>
          <w:rFonts w:ascii="Times New Roman" w:hAnsi="Times New Roman" w:cs="Times New Roman"/>
          <w:sz w:val="20"/>
        </w:rPr>
        <w:t xml:space="preserve"> Regarding Internal Hernia, </w:t>
      </w:r>
      <w:proofErr w:type="spellStart"/>
      <w:r w:rsidRPr="00AB381A">
        <w:rPr>
          <w:rFonts w:ascii="Times New Roman" w:hAnsi="Times New Roman" w:cs="Times New Roman"/>
          <w:sz w:val="20"/>
        </w:rPr>
        <w:t>Jejunal</w:t>
      </w:r>
      <w:proofErr w:type="spellEnd"/>
      <w:r w:rsidRPr="00AB381A">
        <w:rPr>
          <w:rFonts w:ascii="Times New Roman" w:hAnsi="Times New Roman" w:cs="Times New Roman"/>
          <w:sz w:val="20"/>
        </w:rPr>
        <w:t xml:space="preserve"> mesenteric site, hospital days</w:t>
      </w:r>
      <w:r>
        <w:rPr>
          <w:rFonts w:ascii="Times New Roman" w:hAnsi="Times New Roman" w:cs="Times New Roman"/>
          <w:sz w:val="20"/>
        </w:rPr>
        <w:t xml:space="preserve"> and</w:t>
      </w:r>
      <w:r w:rsidRPr="00AB381A">
        <w:rPr>
          <w:rFonts w:ascii="Times New Roman" w:hAnsi="Times New Roman" w:cs="Times New Roman"/>
          <w:sz w:val="20"/>
        </w:rPr>
        <w:t xml:space="preserve"> reoperation, closure of the mesentery was better than non-closure. In terms of operative time, the time of non-closure of the mesentery was shorter than closure. Besides, Petersen’s and </w:t>
      </w:r>
      <w:proofErr w:type="spellStart"/>
      <w:r w:rsidRPr="00AB381A">
        <w:rPr>
          <w:rFonts w:ascii="Times New Roman" w:hAnsi="Times New Roman" w:cs="Times New Roman"/>
          <w:sz w:val="20"/>
        </w:rPr>
        <w:t>Jejunal</w:t>
      </w:r>
      <w:proofErr w:type="spellEnd"/>
      <w:r w:rsidRPr="00AB381A">
        <w:rPr>
          <w:rFonts w:ascii="Times New Roman" w:hAnsi="Times New Roman" w:cs="Times New Roman"/>
          <w:sz w:val="20"/>
        </w:rPr>
        <w:t xml:space="preserve"> </w:t>
      </w:r>
      <w:proofErr w:type="spellStart"/>
      <w:r w:rsidRPr="00AB381A">
        <w:rPr>
          <w:rFonts w:ascii="Times New Roman" w:hAnsi="Times New Roman" w:cs="Times New Roman"/>
          <w:sz w:val="20"/>
        </w:rPr>
        <w:t>mesenteric’s</w:t>
      </w:r>
      <w:proofErr w:type="spellEnd"/>
      <w:r w:rsidRPr="00AB381A">
        <w:rPr>
          <w:rFonts w:ascii="Times New Roman" w:hAnsi="Times New Roman" w:cs="Times New Roman"/>
          <w:sz w:val="20"/>
        </w:rPr>
        <w:t xml:space="preserve"> IH, small bowel obstruction, anastomosis ulcer, stenosis, leakage, bleeding, ga</w:t>
      </w:r>
      <w:bookmarkStart w:id="0" w:name="_GoBack"/>
      <w:bookmarkEnd w:id="0"/>
      <w:r w:rsidRPr="00AB381A">
        <w:rPr>
          <w:rFonts w:ascii="Times New Roman" w:hAnsi="Times New Roman" w:cs="Times New Roman"/>
          <w:sz w:val="20"/>
        </w:rPr>
        <w:t>strointestinal perforation</w:t>
      </w:r>
      <w:r>
        <w:rPr>
          <w:rFonts w:ascii="Times New Roman" w:hAnsi="Times New Roman" w:cs="Times New Roman"/>
          <w:sz w:val="20"/>
        </w:rPr>
        <w:t xml:space="preserve"> and</w:t>
      </w:r>
      <w:r w:rsidRPr="00AB381A">
        <w:rPr>
          <w:rFonts w:ascii="Times New Roman" w:hAnsi="Times New Roman" w:cs="Times New Roman"/>
          <w:sz w:val="20"/>
        </w:rPr>
        <w:t xml:space="preserve"> postoperative BMI of patients show no difference between non-closure and closure.</w:t>
      </w:r>
    </w:p>
    <w:p w:rsidR="00AB381A" w:rsidRPr="00AB381A" w:rsidRDefault="00AB381A" w:rsidP="00AB381A">
      <w:pPr>
        <w:rPr>
          <w:rFonts w:ascii="Times New Roman" w:hAnsi="Times New Roman" w:cs="Times New Roman"/>
          <w:sz w:val="20"/>
        </w:rPr>
      </w:pPr>
      <w:commentRangeStart w:id="1"/>
      <w:r w:rsidRPr="00AB381A">
        <w:rPr>
          <w:rFonts w:ascii="Times New Roman" w:hAnsi="Times New Roman" w:cs="Times New Roman"/>
          <w:b/>
          <w:sz w:val="24"/>
        </w:rPr>
        <w:t>Biography</w:t>
      </w:r>
      <w:commentRangeEnd w:id="1"/>
      <w:r>
        <w:rPr>
          <w:rStyle w:val="CommentReference"/>
        </w:rPr>
        <w:commentReference w:id="1"/>
      </w:r>
    </w:p>
    <w:sectPr w:rsidR="00AB381A" w:rsidRPr="00AB381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5-17T12:40:00Z" w:initials="SS">
    <w:p w:rsidR="00AB381A" w:rsidRDefault="00AB381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81A"/>
    <w:rsid w:val="0032354D"/>
    <w:rsid w:val="00474203"/>
    <w:rsid w:val="00535872"/>
    <w:rsid w:val="00924B33"/>
    <w:rsid w:val="00AB3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8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81A"/>
    <w:rPr>
      <w:rFonts w:ascii="Tahoma" w:hAnsi="Tahoma" w:cs="Tahoma"/>
      <w:sz w:val="16"/>
      <w:szCs w:val="16"/>
    </w:rPr>
  </w:style>
  <w:style w:type="character" w:styleId="CommentReference">
    <w:name w:val="annotation reference"/>
    <w:basedOn w:val="DefaultParagraphFont"/>
    <w:uiPriority w:val="99"/>
    <w:semiHidden/>
    <w:unhideWhenUsed/>
    <w:rsid w:val="00AB381A"/>
    <w:rPr>
      <w:sz w:val="16"/>
      <w:szCs w:val="16"/>
    </w:rPr>
  </w:style>
  <w:style w:type="paragraph" w:styleId="CommentText">
    <w:name w:val="annotation text"/>
    <w:basedOn w:val="Normal"/>
    <w:link w:val="CommentTextChar"/>
    <w:uiPriority w:val="99"/>
    <w:semiHidden/>
    <w:unhideWhenUsed/>
    <w:rsid w:val="00AB381A"/>
    <w:pPr>
      <w:spacing w:line="240" w:lineRule="auto"/>
    </w:pPr>
    <w:rPr>
      <w:sz w:val="20"/>
      <w:szCs w:val="20"/>
    </w:rPr>
  </w:style>
  <w:style w:type="character" w:customStyle="1" w:styleId="CommentTextChar">
    <w:name w:val="Comment Text Char"/>
    <w:basedOn w:val="DefaultParagraphFont"/>
    <w:link w:val="CommentText"/>
    <w:uiPriority w:val="99"/>
    <w:semiHidden/>
    <w:rsid w:val="00AB381A"/>
    <w:rPr>
      <w:sz w:val="20"/>
      <w:szCs w:val="20"/>
    </w:rPr>
  </w:style>
  <w:style w:type="paragraph" w:styleId="CommentSubject">
    <w:name w:val="annotation subject"/>
    <w:basedOn w:val="CommentText"/>
    <w:next w:val="CommentText"/>
    <w:link w:val="CommentSubjectChar"/>
    <w:uiPriority w:val="99"/>
    <w:semiHidden/>
    <w:unhideWhenUsed/>
    <w:rsid w:val="00AB381A"/>
    <w:rPr>
      <w:b/>
      <w:bCs/>
    </w:rPr>
  </w:style>
  <w:style w:type="character" w:customStyle="1" w:styleId="CommentSubjectChar">
    <w:name w:val="Comment Subject Char"/>
    <w:basedOn w:val="CommentTextChar"/>
    <w:link w:val="CommentSubject"/>
    <w:uiPriority w:val="99"/>
    <w:semiHidden/>
    <w:rsid w:val="00AB381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8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81A"/>
    <w:rPr>
      <w:rFonts w:ascii="Tahoma" w:hAnsi="Tahoma" w:cs="Tahoma"/>
      <w:sz w:val="16"/>
      <w:szCs w:val="16"/>
    </w:rPr>
  </w:style>
  <w:style w:type="character" w:styleId="CommentReference">
    <w:name w:val="annotation reference"/>
    <w:basedOn w:val="DefaultParagraphFont"/>
    <w:uiPriority w:val="99"/>
    <w:semiHidden/>
    <w:unhideWhenUsed/>
    <w:rsid w:val="00AB381A"/>
    <w:rPr>
      <w:sz w:val="16"/>
      <w:szCs w:val="16"/>
    </w:rPr>
  </w:style>
  <w:style w:type="paragraph" w:styleId="CommentText">
    <w:name w:val="annotation text"/>
    <w:basedOn w:val="Normal"/>
    <w:link w:val="CommentTextChar"/>
    <w:uiPriority w:val="99"/>
    <w:semiHidden/>
    <w:unhideWhenUsed/>
    <w:rsid w:val="00AB381A"/>
    <w:pPr>
      <w:spacing w:line="240" w:lineRule="auto"/>
    </w:pPr>
    <w:rPr>
      <w:sz w:val="20"/>
      <w:szCs w:val="20"/>
    </w:rPr>
  </w:style>
  <w:style w:type="character" w:customStyle="1" w:styleId="CommentTextChar">
    <w:name w:val="Comment Text Char"/>
    <w:basedOn w:val="DefaultParagraphFont"/>
    <w:link w:val="CommentText"/>
    <w:uiPriority w:val="99"/>
    <w:semiHidden/>
    <w:rsid w:val="00AB381A"/>
    <w:rPr>
      <w:sz w:val="20"/>
      <w:szCs w:val="20"/>
    </w:rPr>
  </w:style>
  <w:style w:type="paragraph" w:styleId="CommentSubject">
    <w:name w:val="annotation subject"/>
    <w:basedOn w:val="CommentText"/>
    <w:next w:val="CommentText"/>
    <w:link w:val="CommentSubjectChar"/>
    <w:uiPriority w:val="99"/>
    <w:semiHidden/>
    <w:unhideWhenUsed/>
    <w:rsid w:val="00AB381A"/>
    <w:rPr>
      <w:b/>
      <w:bCs/>
    </w:rPr>
  </w:style>
  <w:style w:type="character" w:customStyle="1" w:styleId="CommentSubjectChar">
    <w:name w:val="Comment Subject Char"/>
    <w:basedOn w:val="CommentTextChar"/>
    <w:link w:val="CommentSubject"/>
    <w:uiPriority w:val="99"/>
    <w:semiHidden/>
    <w:rsid w:val="00AB38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2023-05-17T07:01:00Z</dcterms:created>
  <dcterms:modified xsi:type="dcterms:W3CDTF">2023-05-17T07:10:00Z</dcterms:modified>
</cp:coreProperties>
</file>