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38B" w:rsidRDefault="0088738B" w:rsidP="0088738B">
      <w:pPr>
        <w:rPr>
          <w:rFonts w:ascii="Times New Roman" w:hAnsi="Times New Roman" w:cs="Times New Roman"/>
          <w:b/>
          <w:sz w:val="32"/>
        </w:rPr>
      </w:pPr>
      <w:commentRangeStart w:id="0"/>
      <w:r w:rsidRPr="0088738B">
        <w:rPr>
          <w:rFonts w:ascii="Times New Roman" w:hAnsi="Times New Roman" w:cs="Times New Roman"/>
          <w:b/>
          <w:sz w:val="32"/>
        </w:rPr>
        <w:t>Role of probiotics in obesity</w:t>
      </w:r>
      <w:commentRangeEnd w:id="0"/>
      <w:r>
        <w:rPr>
          <w:rStyle w:val="CommentReference"/>
        </w:rPr>
        <w:commentReference w:id="0"/>
      </w:r>
    </w:p>
    <w:p w:rsidR="0088738B" w:rsidRDefault="0088738B" w:rsidP="0088738B">
      <w:pPr>
        <w:rPr>
          <w:rFonts w:ascii="Times New Roman" w:hAnsi="Times New Roman" w:cs="Times New Roman"/>
          <w:sz w:val="24"/>
        </w:rPr>
      </w:pPr>
      <w:commentRangeStart w:id="1"/>
      <w:r>
        <w:rPr>
          <w:rFonts w:ascii="Times New Roman" w:hAnsi="Times New Roman" w:cs="Times New Roman"/>
          <w:sz w:val="24"/>
        </w:rPr>
        <w:t>Author name</w:t>
      </w:r>
    </w:p>
    <w:p w:rsidR="0088738B" w:rsidRPr="0088738B" w:rsidRDefault="0088738B" w:rsidP="0088738B">
      <w:pPr>
        <w:rPr>
          <w:rFonts w:ascii="Times New Roman" w:hAnsi="Times New Roman" w:cs="Times New Roman"/>
        </w:rPr>
      </w:pPr>
      <w:r w:rsidRPr="0088738B">
        <w:rPr>
          <w:rFonts w:ascii="Times New Roman" w:hAnsi="Times New Roman" w:cs="Times New Roman"/>
        </w:rPr>
        <w:t>University, Country</w:t>
      </w:r>
      <w:commentRangeEnd w:id="1"/>
      <w:r>
        <w:rPr>
          <w:rStyle w:val="CommentReference"/>
        </w:rPr>
        <w:commentReference w:id="1"/>
      </w:r>
    </w:p>
    <w:p w:rsidR="0088738B" w:rsidRPr="0088738B" w:rsidRDefault="0088738B" w:rsidP="0088738B">
      <w:pPr>
        <w:jc w:val="center"/>
        <w:rPr>
          <w:rFonts w:ascii="Times New Roman" w:hAnsi="Times New Roman" w:cs="Times New Roman"/>
          <w:b/>
          <w:sz w:val="24"/>
        </w:rPr>
      </w:pPr>
      <w:r w:rsidRPr="0088738B">
        <w:rPr>
          <w:rFonts w:ascii="Times New Roman" w:hAnsi="Times New Roman" w:cs="Times New Roman"/>
          <w:b/>
          <w:sz w:val="24"/>
        </w:rPr>
        <w:t>Abstract</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In recent years, intestinal microﬂora has received increasing attention as a metabolic gateway between the outer environment and the host, particularly with regard to modulation of inﬂammation, energy metabolism and body weight homeostasis. Human intestinal microﬂora represents a Complex ecosystem consisting of trillions of microorganisms and tho</w:t>
      </w:r>
      <w:bookmarkStart w:id="2" w:name="_GoBack"/>
      <w:bookmarkEnd w:id="2"/>
      <w:r w:rsidRPr="0088738B">
        <w:rPr>
          <w:rFonts w:ascii="Times New Roman" w:hAnsi="Times New Roman" w:cs="Times New Roman"/>
          <w:sz w:val="20"/>
        </w:rPr>
        <w:t>usands of bacterial species</w:t>
      </w:r>
      <w:r>
        <w:rPr>
          <w:rFonts w:ascii="Times New Roman" w:hAnsi="Times New Roman" w:cs="Times New Roman"/>
          <w:sz w:val="20"/>
        </w:rPr>
        <w:t xml:space="preserve"> that are deeply involved in diff</w:t>
      </w:r>
      <w:r w:rsidRPr="0088738B">
        <w:rPr>
          <w:rFonts w:ascii="Times New Roman" w:hAnsi="Times New Roman" w:cs="Times New Roman"/>
          <w:sz w:val="20"/>
        </w:rPr>
        <w:t>erent functions of host metabolism.</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 xml:space="preserve">A causal link between intestinal microﬂora and host metabolism was ﬁrst provided when </w:t>
      </w:r>
      <w:proofErr w:type="spellStart"/>
      <w:r w:rsidRPr="0088738B">
        <w:rPr>
          <w:rFonts w:ascii="Times New Roman" w:hAnsi="Times New Roman" w:cs="Times New Roman"/>
          <w:sz w:val="20"/>
        </w:rPr>
        <w:t>Turnbaugh</w:t>
      </w:r>
      <w:proofErr w:type="spellEnd"/>
      <w:r w:rsidRPr="0088738B">
        <w:rPr>
          <w:rFonts w:ascii="Times New Roman" w:hAnsi="Times New Roman" w:cs="Times New Roman"/>
          <w:sz w:val="20"/>
        </w:rPr>
        <w:t xml:space="preserve"> et al. demonstrated that transplanting the intestinal microﬂora from obese mice could replicate the obese phenotype in germ-free mice. Di</w:t>
      </w:r>
      <w:r>
        <w:rPr>
          <w:rFonts w:ascii="Times New Roman" w:hAnsi="Times New Roman" w:cs="Times New Roman"/>
          <w:sz w:val="20"/>
        </w:rPr>
        <w:t>ff</w:t>
      </w:r>
      <w:r w:rsidRPr="0088738B">
        <w:rPr>
          <w:rFonts w:ascii="Times New Roman" w:hAnsi="Times New Roman" w:cs="Times New Roman"/>
          <w:sz w:val="20"/>
        </w:rPr>
        <w:t>erences in intestinal microﬂora composition between humans seem to represent a key factor a</w:t>
      </w:r>
      <w:r>
        <w:rPr>
          <w:rFonts w:ascii="Times New Roman" w:hAnsi="Times New Roman" w:cs="Times New Roman"/>
          <w:sz w:val="20"/>
        </w:rPr>
        <w:t>ff</w:t>
      </w:r>
      <w:r w:rsidRPr="0088738B">
        <w:rPr>
          <w:rFonts w:ascii="Times New Roman" w:hAnsi="Times New Roman" w:cs="Times New Roman"/>
          <w:sz w:val="20"/>
        </w:rPr>
        <w:t>ecting energy homeostasis. In both mice and humans, two bacterial phyla are dominant in the gut, the</w:t>
      </w:r>
      <w:r w:rsidRPr="0088738B">
        <w:rPr>
          <w:rFonts w:ascii="Times New Roman" w:hAnsi="Times New Roman" w:cs="Times New Roman"/>
          <w:sz w:val="20"/>
        </w:rPr>
        <w:t xml:space="preserve"> </w:t>
      </w:r>
      <w:r w:rsidRPr="0088738B">
        <w:rPr>
          <w:rFonts w:ascii="Times New Roman" w:hAnsi="Times New Roman" w:cs="Times New Roman"/>
          <w:sz w:val="20"/>
        </w:rPr>
        <w:t xml:space="preserve">Gram-negative </w:t>
      </w:r>
      <w:proofErr w:type="spellStart"/>
      <w:r w:rsidRPr="0088738B">
        <w:rPr>
          <w:rFonts w:ascii="Times New Roman" w:hAnsi="Times New Roman" w:cs="Times New Roman"/>
          <w:sz w:val="20"/>
        </w:rPr>
        <w:t>Bacteroidetes</w:t>
      </w:r>
      <w:proofErr w:type="spellEnd"/>
      <w:r w:rsidRPr="0088738B">
        <w:rPr>
          <w:rFonts w:ascii="Times New Roman" w:hAnsi="Times New Roman" w:cs="Times New Roman"/>
          <w:sz w:val="20"/>
        </w:rPr>
        <w:t xml:space="preserve"> and the Gram-positive </w:t>
      </w:r>
      <w:proofErr w:type="spellStart"/>
      <w:r w:rsidRPr="0088738B">
        <w:rPr>
          <w:rFonts w:ascii="Times New Roman" w:hAnsi="Times New Roman" w:cs="Times New Roman"/>
          <w:sz w:val="20"/>
        </w:rPr>
        <w:t>Firmicutes</w:t>
      </w:r>
      <w:proofErr w:type="spellEnd"/>
      <w:r w:rsidRPr="0088738B">
        <w:rPr>
          <w:rFonts w:ascii="Times New Roman" w:hAnsi="Times New Roman" w:cs="Times New Roman"/>
          <w:sz w:val="20"/>
        </w:rPr>
        <w:t xml:space="preserve">. Although few data exist at the genus and species level, studies in mice and in humans have demonstrated that obesity is associated with a reduction in the relative abundance of </w:t>
      </w:r>
      <w:proofErr w:type="spellStart"/>
      <w:r w:rsidRPr="0088738B">
        <w:rPr>
          <w:rFonts w:ascii="Times New Roman" w:hAnsi="Times New Roman" w:cs="Times New Roman"/>
          <w:sz w:val="20"/>
        </w:rPr>
        <w:t>Bacteroidetes</w:t>
      </w:r>
      <w:proofErr w:type="spellEnd"/>
      <w:r>
        <w:rPr>
          <w:rFonts w:ascii="Times New Roman" w:hAnsi="Times New Roman" w:cs="Times New Roman"/>
          <w:sz w:val="20"/>
        </w:rPr>
        <w:t xml:space="preserve"> and</w:t>
      </w:r>
      <w:r w:rsidRPr="0088738B">
        <w:rPr>
          <w:rFonts w:ascii="Times New Roman" w:hAnsi="Times New Roman" w:cs="Times New Roman"/>
          <w:sz w:val="20"/>
        </w:rPr>
        <w:t xml:space="preserve"> that the obese microﬂora has lower bacterial diversity than lean microﬂora. In overweight/obese humans, low </w:t>
      </w:r>
      <w:proofErr w:type="spellStart"/>
      <w:r w:rsidRPr="0088738B">
        <w:rPr>
          <w:rFonts w:ascii="Times New Roman" w:hAnsi="Times New Roman" w:cs="Times New Roman"/>
          <w:sz w:val="20"/>
        </w:rPr>
        <w:t>faecal</w:t>
      </w:r>
      <w:proofErr w:type="spellEnd"/>
      <w:r w:rsidRPr="0088738B">
        <w:rPr>
          <w:rFonts w:ascii="Times New Roman" w:hAnsi="Times New Roman" w:cs="Times New Roman"/>
          <w:sz w:val="20"/>
        </w:rPr>
        <w:t xml:space="preserve"> bacterial gene richness is associated with more marked overall adiposity and </w:t>
      </w:r>
      <w:proofErr w:type="spellStart"/>
      <w:r w:rsidRPr="0088738B">
        <w:rPr>
          <w:rFonts w:ascii="Times New Roman" w:hAnsi="Times New Roman" w:cs="Times New Roman"/>
          <w:sz w:val="20"/>
        </w:rPr>
        <w:t>dyslipidaemia</w:t>
      </w:r>
      <w:proofErr w:type="spellEnd"/>
      <w:r w:rsidRPr="0088738B">
        <w:rPr>
          <w:rFonts w:ascii="Times New Roman" w:hAnsi="Times New Roman" w:cs="Times New Roman"/>
          <w:sz w:val="20"/>
        </w:rPr>
        <w:t>, impaired glucose homeostasis and higher</w:t>
      </w:r>
      <w:r w:rsidRPr="0088738B">
        <w:rPr>
          <w:rFonts w:ascii="Times New Roman" w:hAnsi="Times New Roman" w:cs="Times New Roman"/>
          <w:sz w:val="20"/>
        </w:rPr>
        <w:t xml:space="preserve"> </w:t>
      </w:r>
      <w:r w:rsidRPr="0088738B">
        <w:rPr>
          <w:rFonts w:ascii="Times New Roman" w:hAnsi="Times New Roman" w:cs="Times New Roman"/>
          <w:sz w:val="20"/>
        </w:rPr>
        <w:t>low-grade inﬂammation.</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Intestinal microﬂora composition is strongly a</w:t>
      </w:r>
      <w:r>
        <w:rPr>
          <w:rFonts w:ascii="Times New Roman" w:hAnsi="Times New Roman" w:cs="Times New Roman"/>
          <w:sz w:val="20"/>
        </w:rPr>
        <w:t>ff</w:t>
      </w:r>
      <w:r w:rsidRPr="0088738B">
        <w:rPr>
          <w:rFonts w:ascii="Times New Roman" w:hAnsi="Times New Roman" w:cs="Times New Roman"/>
          <w:sz w:val="20"/>
        </w:rPr>
        <w:t xml:space="preserve">ected by dietary patterns. A high-fat and high-sugar Western diet increases the relative abundance of </w:t>
      </w:r>
      <w:proofErr w:type="spellStart"/>
      <w:r w:rsidRPr="0088738B">
        <w:rPr>
          <w:rFonts w:ascii="Times New Roman" w:hAnsi="Times New Roman" w:cs="Times New Roman"/>
          <w:sz w:val="20"/>
        </w:rPr>
        <w:t>Firmicutes</w:t>
      </w:r>
      <w:proofErr w:type="spellEnd"/>
      <w:r w:rsidRPr="0088738B">
        <w:rPr>
          <w:rFonts w:ascii="Times New Roman" w:hAnsi="Times New Roman" w:cs="Times New Roman"/>
          <w:sz w:val="20"/>
        </w:rPr>
        <w:t xml:space="preserve"> at the expense of the </w:t>
      </w:r>
      <w:proofErr w:type="spellStart"/>
      <w:r w:rsidRPr="0088738B">
        <w:rPr>
          <w:rFonts w:ascii="Times New Roman" w:hAnsi="Times New Roman" w:cs="Times New Roman"/>
          <w:sz w:val="20"/>
        </w:rPr>
        <w:t>Bacteroidetes</w:t>
      </w:r>
      <w:proofErr w:type="spellEnd"/>
      <w:r w:rsidRPr="0088738B">
        <w:rPr>
          <w:rFonts w:ascii="Times New Roman" w:hAnsi="Times New Roman" w:cs="Times New Roman"/>
          <w:sz w:val="20"/>
        </w:rPr>
        <w:t xml:space="preserve"> in animal models, whereas low-calorie diet induced weight loss may increase the relative abundance of </w:t>
      </w:r>
      <w:proofErr w:type="spellStart"/>
      <w:r w:rsidRPr="0088738B">
        <w:rPr>
          <w:rFonts w:ascii="Times New Roman" w:hAnsi="Times New Roman" w:cs="Times New Roman"/>
          <w:sz w:val="20"/>
        </w:rPr>
        <w:t>Bacteroidetes</w:t>
      </w:r>
      <w:proofErr w:type="spellEnd"/>
      <w:r w:rsidRPr="0088738B">
        <w:rPr>
          <w:rFonts w:ascii="Times New Roman" w:hAnsi="Times New Roman" w:cs="Times New Roman"/>
          <w:sz w:val="20"/>
        </w:rPr>
        <w:t xml:space="preserve"> in obese individuals. Data obtained in animal models of the human intestinal ecosystem indicate that </w:t>
      </w:r>
      <w:r w:rsidRPr="0088738B">
        <w:rPr>
          <w:rFonts w:ascii="Times New Roman" w:hAnsi="Times New Roman" w:cs="Times New Roman"/>
          <w:sz w:val="20"/>
        </w:rPr>
        <w:t xml:space="preserve">switching from a low-fat, plant </w:t>
      </w:r>
      <w:r w:rsidRPr="0088738B">
        <w:rPr>
          <w:rFonts w:ascii="Times New Roman" w:hAnsi="Times New Roman" w:cs="Times New Roman"/>
          <w:sz w:val="20"/>
        </w:rPr>
        <w:t xml:space="preserve">polysaccharide-rich diet to a high-fat/high-sugar “Western” diet may shift the structure of the microﬂora within a single day, changing the representation of metabolic pathways and altering </w:t>
      </w:r>
      <w:proofErr w:type="spellStart"/>
      <w:r w:rsidRPr="0088738B">
        <w:rPr>
          <w:rFonts w:ascii="Times New Roman" w:hAnsi="Times New Roman" w:cs="Times New Roman"/>
          <w:sz w:val="20"/>
        </w:rPr>
        <w:t>microbiome</w:t>
      </w:r>
      <w:proofErr w:type="spellEnd"/>
      <w:r w:rsidRPr="0088738B">
        <w:rPr>
          <w:rFonts w:ascii="Times New Roman" w:hAnsi="Times New Roman" w:cs="Times New Roman"/>
          <w:sz w:val="20"/>
        </w:rPr>
        <w:t xml:space="preserve"> gene</w:t>
      </w:r>
      <w:r w:rsidRPr="0088738B">
        <w:rPr>
          <w:rFonts w:ascii="Times New Roman" w:hAnsi="Times New Roman" w:cs="Times New Roman"/>
          <w:sz w:val="20"/>
        </w:rPr>
        <w:t xml:space="preserve"> </w:t>
      </w:r>
      <w:r w:rsidRPr="0088738B">
        <w:rPr>
          <w:rFonts w:ascii="Times New Roman" w:hAnsi="Times New Roman" w:cs="Times New Roman"/>
          <w:sz w:val="20"/>
        </w:rPr>
        <w:t>expression. Consistently, a controlled-feeding study in humans showed that microﬂora composition changed detectably within 24 h of initiating a</w:t>
      </w:r>
      <w:r w:rsidRPr="0088738B">
        <w:rPr>
          <w:rFonts w:ascii="Times New Roman" w:hAnsi="Times New Roman" w:cs="Times New Roman"/>
          <w:sz w:val="20"/>
        </w:rPr>
        <w:t xml:space="preserve"> </w:t>
      </w:r>
      <w:r w:rsidRPr="0088738B">
        <w:rPr>
          <w:rFonts w:ascii="Times New Roman" w:hAnsi="Times New Roman" w:cs="Times New Roman"/>
          <w:sz w:val="20"/>
        </w:rPr>
        <w:t>high-fat/low-</w:t>
      </w:r>
      <w:proofErr w:type="spellStart"/>
      <w:r w:rsidRPr="0088738B">
        <w:rPr>
          <w:rFonts w:ascii="Times New Roman" w:hAnsi="Times New Roman" w:cs="Times New Roman"/>
          <w:sz w:val="20"/>
        </w:rPr>
        <w:t>ﬁbre</w:t>
      </w:r>
      <w:proofErr w:type="spellEnd"/>
      <w:r w:rsidRPr="0088738B">
        <w:rPr>
          <w:rFonts w:ascii="Times New Roman" w:hAnsi="Times New Roman" w:cs="Times New Roman"/>
          <w:sz w:val="20"/>
        </w:rPr>
        <w:t xml:space="preserve"> or low-fat/high-</w:t>
      </w:r>
      <w:proofErr w:type="spellStart"/>
      <w:r w:rsidRPr="0088738B">
        <w:rPr>
          <w:rFonts w:ascii="Times New Roman" w:hAnsi="Times New Roman" w:cs="Times New Roman"/>
          <w:sz w:val="20"/>
        </w:rPr>
        <w:t>ﬁbre</w:t>
      </w:r>
      <w:proofErr w:type="spellEnd"/>
      <w:r w:rsidRPr="0088738B">
        <w:rPr>
          <w:rFonts w:ascii="Times New Roman" w:hAnsi="Times New Roman" w:cs="Times New Roman"/>
          <w:sz w:val="20"/>
        </w:rPr>
        <w:t xml:space="preserve"> diet, although the magnitude of the changes was modest.</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Kong et al. explored di</w:t>
      </w:r>
      <w:r>
        <w:rPr>
          <w:rFonts w:ascii="Times New Roman" w:hAnsi="Times New Roman" w:cs="Times New Roman"/>
          <w:sz w:val="20"/>
        </w:rPr>
        <w:t>ff</w:t>
      </w:r>
      <w:r w:rsidRPr="0088738B">
        <w:rPr>
          <w:rFonts w:ascii="Times New Roman" w:hAnsi="Times New Roman" w:cs="Times New Roman"/>
          <w:sz w:val="20"/>
        </w:rPr>
        <w:t>erences in host inﬂammatory variables and intestinal microﬂora in function of three distinct dietary clusters in overweight/obese subjects. They found that subjects having a healthier dietary pattern (higher consumption of fruits, yogurt and soups and lower consumption of sweets, confectionary and table sugar and sugary drinks) showed less pronounced metabolic impairment and had the highest gene richness and diversity in their intestinal microﬂora, despite there was no di</w:t>
      </w:r>
      <w:r>
        <w:rPr>
          <w:rFonts w:ascii="Times New Roman" w:hAnsi="Times New Roman" w:cs="Times New Roman"/>
          <w:sz w:val="20"/>
        </w:rPr>
        <w:t>ff</w:t>
      </w:r>
      <w:r w:rsidRPr="0088738B">
        <w:rPr>
          <w:rFonts w:ascii="Times New Roman" w:hAnsi="Times New Roman" w:cs="Times New Roman"/>
          <w:sz w:val="20"/>
        </w:rPr>
        <w:t>erence in total energy intake or body weight across dietary clusters.</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 xml:space="preserve">The bacteria in our gut not only play an important role in digestion but research indicates that our </w:t>
      </w:r>
      <w:proofErr w:type="spellStart"/>
      <w:r w:rsidRPr="0088738B">
        <w:rPr>
          <w:rFonts w:ascii="Times New Roman" w:hAnsi="Times New Roman" w:cs="Times New Roman"/>
          <w:sz w:val="20"/>
        </w:rPr>
        <w:t>microbiome</w:t>
      </w:r>
      <w:proofErr w:type="spellEnd"/>
      <w:r w:rsidRPr="0088738B">
        <w:rPr>
          <w:rFonts w:ascii="Times New Roman" w:hAnsi="Times New Roman" w:cs="Times New Roman"/>
          <w:sz w:val="20"/>
        </w:rPr>
        <w:t xml:space="preserve"> could also play a major role in whether or not we become obese.</w:t>
      </w:r>
    </w:p>
    <w:p w:rsidR="0088738B" w:rsidRPr="0088738B" w:rsidRDefault="0088738B" w:rsidP="0088738B">
      <w:pPr>
        <w:jc w:val="both"/>
        <w:rPr>
          <w:rFonts w:ascii="Times New Roman" w:hAnsi="Times New Roman" w:cs="Times New Roman"/>
          <w:sz w:val="20"/>
        </w:rPr>
      </w:pPr>
      <w:r w:rsidRPr="0088738B">
        <w:rPr>
          <w:rFonts w:ascii="Times New Roman" w:hAnsi="Times New Roman" w:cs="Times New Roman"/>
          <w:sz w:val="20"/>
        </w:rPr>
        <w:t>Animal Studies Gut microbes play a major role in energy extraction</w:t>
      </w:r>
      <w:r w:rsidRPr="0088738B">
        <w:rPr>
          <w:rFonts w:ascii="Times New Roman" w:hAnsi="Times New Roman" w:cs="Times New Roman"/>
          <w:sz w:val="20"/>
        </w:rPr>
        <w:t xml:space="preserve"> </w:t>
      </w:r>
      <w:r w:rsidRPr="0088738B">
        <w:rPr>
          <w:rFonts w:ascii="Times New Roman" w:hAnsi="Times New Roman" w:cs="Times New Roman"/>
          <w:sz w:val="20"/>
        </w:rPr>
        <w:t xml:space="preserve">from food through a variety of mechanisms. Many plant polysaccharides and complex carbohydrates cannot be digested by the host; however, the gut microbes can metabolize these </w:t>
      </w:r>
      <w:r w:rsidRPr="0088738B">
        <w:rPr>
          <w:rFonts w:ascii="Times New Roman" w:hAnsi="Times New Roman" w:cs="Times New Roman"/>
          <w:sz w:val="20"/>
        </w:rPr>
        <w:t xml:space="preserve">to Short Chain Fatty Acids </w:t>
      </w:r>
      <w:r w:rsidRPr="0088738B">
        <w:rPr>
          <w:rFonts w:ascii="Times New Roman" w:hAnsi="Times New Roman" w:cs="Times New Roman"/>
          <w:sz w:val="20"/>
        </w:rPr>
        <w:t xml:space="preserve">(SCFA), such as butyrate, propionate and acetate. Butyrate is used as the primary energy source for colonic epithelial cells, while propionate and acetate are necessary for </w:t>
      </w:r>
      <w:proofErr w:type="spellStart"/>
      <w:r w:rsidRPr="0088738B">
        <w:rPr>
          <w:rFonts w:ascii="Times New Roman" w:hAnsi="Times New Roman" w:cs="Times New Roman"/>
          <w:sz w:val="20"/>
        </w:rPr>
        <w:t>lipogenesis</w:t>
      </w:r>
      <w:proofErr w:type="spellEnd"/>
      <w:r w:rsidRPr="0088738B">
        <w:rPr>
          <w:rFonts w:ascii="Times New Roman" w:hAnsi="Times New Roman" w:cs="Times New Roman"/>
          <w:sz w:val="20"/>
        </w:rPr>
        <w:t xml:space="preserve"> and gluconeogenesis in the liver.</w:t>
      </w:r>
    </w:p>
    <w:p w:rsidR="00474203" w:rsidRDefault="0088738B" w:rsidP="0088738B">
      <w:pPr>
        <w:jc w:val="both"/>
        <w:rPr>
          <w:rFonts w:ascii="Times New Roman" w:hAnsi="Times New Roman" w:cs="Times New Roman"/>
          <w:sz w:val="20"/>
        </w:rPr>
      </w:pPr>
      <w:r w:rsidRPr="0088738B">
        <w:rPr>
          <w:rFonts w:ascii="Times New Roman" w:hAnsi="Times New Roman" w:cs="Times New Roman"/>
          <w:sz w:val="20"/>
        </w:rPr>
        <w:lastRenderedPageBreak/>
        <w:t>Di</w:t>
      </w:r>
      <w:r>
        <w:rPr>
          <w:rFonts w:ascii="Times New Roman" w:hAnsi="Times New Roman" w:cs="Times New Roman"/>
          <w:sz w:val="20"/>
        </w:rPr>
        <w:t>ff</w:t>
      </w:r>
      <w:r w:rsidRPr="0088738B">
        <w:rPr>
          <w:rFonts w:ascii="Times New Roman" w:hAnsi="Times New Roman" w:cs="Times New Roman"/>
          <w:sz w:val="20"/>
        </w:rPr>
        <w:t>erences in SCFA levels have been observed in obese and lean mice. For</w:t>
      </w:r>
      <w:r w:rsidRPr="0088738B">
        <w:rPr>
          <w:rFonts w:ascii="Times New Roman" w:hAnsi="Times New Roman" w:cs="Times New Roman"/>
          <w:sz w:val="20"/>
        </w:rPr>
        <w:t xml:space="preserve"> </w:t>
      </w:r>
      <w:r w:rsidRPr="0088738B">
        <w:rPr>
          <w:rFonts w:ascii="Times New Roman" w:hAnsi="Times New Roman" w:cs="Times New Roman"/>
          <w:sz w:val="20"/>
        </w:rPr>
        <w:t xml:space="preserve">example, in a genetic model of obesity, </w:t>
      </w:r>
      <w:proofErr w:type="spellStart"/>
      <w:r w:rsidRPr="0088738B">
        <w:rPr>
          <w:rFonts w:ascii="Times New Roman" w:hAnsi="Times New Roman" w:cs="Times New Roman"/>
          <w:sz w:val="20"/>
        </w:rPr>
        <w:t>ob</w:t>
      </w:r>
      <w:proofErr w:type="spellEnd"/>
      <w:r w:rsidRPr="0088738B">
        <w:rPr>
          <w:rFonts w:ascii="Times New Roman" w:hAnsi="Times New Roman" w:cs="Times New Roman"/>
          <w:sz w:val="20"/>
        </w:rPr>
        <w:t>/</w:t>
      </w:r>
      <w:proofErr w:type="spellStart"/>
      <w:r w:rsidRPr="0088738B">
        <w:rPr>
          <w:rFonts w:ascii="Times New Roman" w:hAnsi="Times New Roman" w:cs="Times New Roman"/>
          <w:sz w:val="20"/>
        </w:rPr>
        <w:t>ob</w:t>
      </w:r>
      <w:proofErr w:type="spellEnd"/>
      <w:r w:rsidRPr="0088738B">
        <w:rPr>
          <w:rFonts w:ascii="Times New Roman" w:hAnsi="Times New Roman" w:cs="Times New Roman"/>
          <w:sz w:val="20"/>
        </w:rPr>
        <w:t xml:space="preserve"> mice have increased butyrate and</w:t>
      </w:r>
      <w:r w:rsidRPr="0088738B">
        <w:rPr>
          <w:rFonts w:ascii="Times New Roman" w:hAnsi="Times New Roman" w:cs="Times New Roman"/>
          <w:sz w:val="20"/>
        </w:rPr>
        <w:t xml:space="preserve"> </w:t>
      </w:r>
      <w:r w:rsidRPr="0088738B">
        <w:rPr>
          <w:rFonts w:ascii="Times New Roman" w:hAnsi="Times New Roman" w:cs="Times New Roman"/>
          <w:sz w:val="20"/>
        </w:rPr>
        <w:t xml:space="preserve">acetate concentrations in their ceca and less energy, determined by bomb </w:t>
      </w:r>
      <w:proofErr w:type="spellStart"/>
      <w:r w:rsidRPr="0088738B">
        <w:rPr>
          <w:rFonts w:ascii="Times New Roman" w:hAnsi="Times New Roman" w:cs="Times New Roman"/>
          <w:sz w:val="20"/>
        </w:rPr>
        <w:t>calorimetry</w:t>
      </w:r>
      <w:proofErr w:type="spellEnd"/>
      <w:r w:rsidRPr="0088738B">
        <w:rPr>
          <w:rFonts w:ascii="Times New Roman" w:hAnsi="Times New Roman" w:cs="Times New Roman"/>
          <w:sz w:val="20"/>
        </w:rPr>
        <w:t>, in their feces compared to their lean counterparts.</w:t>
      </w:r>
    </w:p>
    <w:p w:rsidR="0088738B" w:rsidRPr="0088738B" w:rsidRDefault="0088738B" w:rsidP="0088738B">
      <w:pPr>
        <w:rPr>
          <w:rFonts w:ascii="Times New Roman" w:hAnsi="Times New Roman" w:cs="Times New Roman"/>
          <w:b/>
          <w:sz w:val="24"/>
          <w:szCs w:val="24"/>
        </w:rPr>
      </w:pPr>
      <w:commentRangeStart w:id="3"/>
      <w:r w:rsidRPr="0088738B">
        <w:rPr>
          <w:rFonts w:ascii="Times New Roman" w:hAnsi="Times New Roman" w:cs="Times New Roman"/>
          <w:b/>
          <w:sz w:val="24"/>
          <w:szCs w:val="24"/>
        </w:rPr>
        <w:t>Biography</w:t>
      </w:r>
      <w:commentRangeEnd w:id="3"/>
      <w:r w:rsidRPr="0088738B">
        <w:rPr>
          <w:rStyle w:val="CommentReference"/>
          <w:rFonts w:ascii="Times New Roman" w:hAnsi="Times New Roman" w:cs="Times New Roman"/>
          <w:b/>
          <w:sz w:val="24"/>
          <w:szCs w:val="24"/>
        </w:rPr>
        <w:commentReference w:id="3"/>
      </w:r>
    </w:p>
    <w:sectPr w:rsidR="0088738B" w:rsidRPr="0088738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17T12:06:00Z" w:initials="SS">
    <w:p w:rsidR="0088738B" w:rsidRDefault="0088738B">
      <w:pPr>
        <w:pStyle w:val="CommentText"/>
      </w:pPr>
      <w:r>
        <w:rPr>
          <w:rStyle w:val="CommentReference"/>
        </w:rPr>
        <w:annotationRef/>
      </w:r>
      <w:r>
        <w:t>Content plagiarized from below links.</w:t>
      </w:r>
    </w:p>
    <w:p w:rsidR="0088738B" w:rsidRDefault="0088738B">
      <w:pPr>
        <w:pStyle w:val="CommentText"/>
      </w:pPr>
    </w:p>
    <w:p w:rsidR="0088738B" w:rsidRDefault="0088738B" w:rsidP="0088738B">
      <w:pPr>
        <w:pStyle w:val="CommentText"/>
        <w:numPr>
          <w:ilvl w:val="0"/>
          <w:numId w:val="1"/>
        </w:numPr>
      </w:pPr>
      <w:hyperlink r:id="rId1" w:history="1">
        <w:r w:rsidRPr="00085D6F">
          <w:rPr>
            <w:rStyle w:val="Hyperlink"/>
          </w:rPr>
          <w:t>https://www.ncbi.nlm.nih.gov/pmc/articles/PMC4761174/</w:t>
        </w:r>
      </w:hyperlink>
    </w:p>
    <w:p w:rsidR="0088738B" w:rsidRDefault="0088738B" w:rsidP="0088738B">
      <w:pPr>
        <w:pStyle w:val="CommentText"/>
        <w:numPr>
          <w:ilvl w:val="0"/>
          <w:numId w:val="1"/>
        </w:numPr>
      </w:pPr>
      <w:hyperlink r:id="rId2" w:history="1">
        <w:r w:rsidRPr="00085D6F">
          <w:rPr>
            <w:rStyle w:val="Hyperlink"/>
          </w:rPr>
          <w:t>https://www.ncbi.nlm.nih.gov/pmc/articles/PMC5082693/</w:t>
        </w:r>
      </w:hyperlink>
    </w:p>
    <w:p w:rsidR="0088738B" w:rsidRDefault="0088738B" w:rsidP="0088738B">
      <w:pPr>
        <w:pStyle w:val="CommentText"/>
      </w:pPr>
    </w:p>
  </w:comment>
  <w:comment w:id="1" w:author="Swetha Sandala" w:date="2023-05-17T12:05:00Z" w:initials="SS">
    <w:p w:rsidR="0088738B" w:rsidRDefault="0088738B">
      <w:pPr>
        <w:pStyle w:val="CommentText"/>
      </w:pPr>
      <w:r>
        <w:rPr>
          <w:rStyle w:val="CommentReference"/>
        </w:rPr>
        <w:annotationRef/>
      </w:r>
      <w:r>
        <w:t>Add Author name, University and Country</w:t>
      </w:r>
    </w:p>
  </w:comment>
  <w:comment w:id="3" w:author="Swetha Sandala" w:date="2023-05-17T12:05:00Z" w:initials="SS">
    <w:p w:rsidR="0088738B" w:rsidRDefault="0088738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5108FF"/>
    <w:multiLevelType w:val="hybridMultilevel"/>
    <w:tmpl w:val="3578C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38B"/>
    <w:rsid w:val="0032354D"/>
    <w:rsid w:val="00474203"/>
    <w:rsid w:val="00535872"/>
    <w:rsid w:val="0088738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8738B"/>
    <w:rPr>
      <w:sz w:val="16"/>
      <w:szCs w:val="16"/>
    </w:rPr>
  </w:style>
  <w:style w:type="paragraph" w:styleId="CommentText">
    <w:name w:val="annotation text"/>
    <w:basedOn w:val="Normal"/>
    <w:link w:val="CommentTextChar"/>
    <w:uiPriority w:val="99"/>
    <w:semiHidden/>
    <w:unhideWhenUsed/>
    <w:rsid w:val="0088738B"/>
    <w:pPr>
      <w:spacing w:line="240" w:lineRule="auto"/>
    </w:pPr>
    <w:rPr>
      <w:sz w:val="20"/>
      <w:szCs w:val="20"/>
    </w:rPr>
  </w:style>
  <w:style w:type="character" w:customStyle="1" w:styleId="CommentTextChar">
    <w:name w:val="Comment Text Char"/>
    <w:basedOn w:val="DefaultParagraphFont"/>
    <w:link w:val="CommentText"/>
    <w:uiPriority w:val="99"/>
    <w:semiHidden/>
    <w:rsid w:val="0088738B"/>
    <w:rPr>
      <w:sz w:val="20"/>
      <w:szCs w:val="20"/>
    </w:rPr>
  </w:style>
  <w:style w:type="paragraph" w:styleId="CommentSubject">
    <w:name w:val="annotation subject"/>
    <w:basedOn w:val="CommentText"/>
    <w:next w:val="CommentText"/>
    <w:link w:val="CommentSubjectChar"/>
    <w:uiPriority w:val="99"/>
    <w:semiHidden/>
    <w:unhideWhenUsed/>
    <w:rsid w:val="0088738B"/>
    <w:rPr>
      <w:b/>
      <w:bCs/>
    </w:rPr>
  </w:style>
  <w:style w:type="character" w:customStyle="1" w:styleId="CommentSubjectChar">
    <w:name w:val="Comment Subject Char"/>
    <w:basedOn w:val="CommentTextChar"/>
    <w:link w:val="CommentSubject"/>
    <w:uiPriority w:val="99"/>
    <w:semiHidden/>
    <w:rsid w:val="0088738B"/>
    <w:rPr>
      <w:b/>
      <w:bCs/>
      <w:sz w:val="20"/>
      <w:szCs w:val="20"/>
    </w:rPr>
  </w:style>
  <w:style w:type="paragraph" w:styleId="BalloonText">
    <w:name w:val="Balloon Text"/>
    <w:basedOn w:val="Normal"/>
    <w:link w:val="BalloonTextChar"/>
    <w:uiPriority w:val="99"/>
    <w:semiHidden/>
    <w:unhideWhenUsed/>
    <w:rsid w:val="00887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8B"/>
    <w:rPr>
      <w:rFonts w:ascii="Tahoma" w:hAnsi="Tahoma" w:cs="Tahoma"/>
      <w:sz w:val="16"/>
      <w:szCs w:val="16"/>
    </w:rPr>
  </w:style>
  <w:style w:type="character" w:styleId="Hyperlink">
    <w:name w:val="Hyperlink"/>
    <w:basedOn w:val="DefaultParagraphFont"/>
    <w:uiPriority w:val="99"/>
    <w:unhideWhenUsed/>
    <w:rsid w:val="008873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8738B"/>
    <w:rPr>
      <w:sz w:val="16"/>
      <w:szCs w:val="16"/>
    </w:rPr>
  </w:style>
  <w:style w:type="paragraph" w:styleId="CommentText">
    <w:name w:val="annotation text"/>
    <w:basedOn w:val="Normal"/>
    <w:link w:val="CommentTextChar"/>
    <w:uiPriority w:val="99"/>
    <w:semiHidden/>
    <w:unhideWhenUsed/>
    <w:rsid w:val="0088738B"/>
    <w:pPr>
      <w:spacing w:line="240" w:lineRule="auto"/>
    </w:pPr>
    <w:rPr>
      <w:sz w:val="20"/>
      <w:szCs w:val="20"/>
    </w:rPr>
  </w:style>
  <w:style w:type="character" w:customStyle="1" w:styleId="CommentTextChar">
    <w:name w:val="Comment Text Char"/>
    <w:basedOn w:val="DefaultParagraphFont"/>
    <w:link w:val="CommentText"/>
    <w:uiPriority w:val="99"/>
    <w:semiHidden/>
    <w:rsid w:val="0088738B"/>
    <w:rPr>
      <w:sz w:val="20"/>
      <w:szCs w:val="20"/>
    </w:rPr>
  </w:style>
  <w:style w:type="paragraph" w:styleId="CommentSubject">
    <w:name w:val="annotation subject"/>
    <w:basedOn w:val="CommentText"/>
    <w:next w:val="CommentText"/>
    <w:link w:val="CommentSubjectChar"/>
    <w:uiPriority w:val="99"/>
    <w:semiHidden/>
    <w:unhideWhenUsed/>
    <w:rsid w:val="0088738B"/>
    <w:rPr>
      <w:b/>
      <w:bCs/>
    </w:rPr>
  </w:style>
  <w:style w:type="character" w:customStyle="1" w:styleId="CommentSubjectChar">
    <w:name w:val="Comment Subject Char"/>
    <w:basedOn w:val="CommentTextChar"/>
    <w:link w:val="CommentSubject"/>
    <w:uiPriority w:val="99"/>
    <w:semiHidden/>
    <w:rsid w:val="0088738B"/>
    <w:rPr>
      <w:b/>
      <w:bCs/>
      <w:sz w:val="20"/>
      <w:szCs w:val="20"/>
    </w:rPr>
  </w:style>
  <w:style w:type="paragraph" w:styleId="BalloonText">
    <w:name w:val="Balloon Text"/>
    <w:basedOn w:val="Normal"/>
    <w:link w:val="BalloonTextChar"/>
    <w:uiPriority w:val="99"/>
    <w:semiHidden/>
    <w:unhideWhenUsed/>
    <w:rsid w:val="00887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8B"/>
    <w:rPr>
      <w:rFonts w:ascii="Tahoma" w:hAnsi="Tahoma" w:cs="Tahoma"/>
      <w:sz w:val="16"/>
      <w:szCs w:val="16"/>
    </w:rPr>
  </w:style>
  <w:style w:type="character" w:styleId="Hyperlink">
    <w:name w:val="Hyperlink"/>
    <w:basedOn w:val="DefaultParagraphFont"/>
    <w:uiPriority w:val="99"/>
    <w:unhideWhenUsed/>
    <w:rsid w:val="008873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cbi.nlm.nih.gov/pmc/articles/PMC5082693/" TargetMode="External"/><Relationship Id="rId1" Type="http://schemas.openxmlformats.org/officeDocument/2006/relationships/hyperlink" Target="https://www.ncbi.nlm.nih.gov/pmc/articles/PMC476117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2023-05-17T06:18:00Z</dcterms:created>
  <dcterms:modified xsi:type="dcterms:W3CDTF">2023-05-17T06:36:00Z</dcterms:modified>
</cp:coreProperties>
</file>