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C0A" w:rsidRPr="005A75A3" w:rsidRDefault="00BE3C0A" w:rsidP="005A75A3">
      <w:pPr>
        <w:rPr>
          <w:rFonts w:ascii="Times New Roman" w:hAnsi="Times New Roman" w:cs="Times New Roman"/>
          <w:b/>
          <w:sz w:val="32"/>
          <w:szCs w:val="24"/>
        </w:rPr>
      </w:pPr>
      <w:bookmarkStart w:id="0" w:name="_Hlk69724021"/>
      <w:bookmarkStart w:id="1" w:name="_Hlk69724425"/>
      <w:bookmarkStart w:id="2" w:name="_GoBack"/>
      <w:r w:rsidRPr="005A75A3">
        <w:rPr>
          <w:rFonts w:ascii="Times New Roman" w:hAnsi="Times New Roman" w:cs="Times New Roman"/>
          <w:b/>
          <w:sz w:val="32"/>
          <w:szCs w:val="24"/>
        </w:rPr>
        <w:t>Study on antibacterial effect of some plants growing in the central part of the republic of Tajikistan</w:t>
      </w:r>
    </w:p>
    <w:p w:rsidR="00BE3C0A" w:rsidRPr="005A75A3" w:rsidRDefault="00BE3C0A" w:rsidP="005A75A3">
      <w:pPr>
        <w:rPr>
          <w:rFonts w:ascii="Times New Roman" w:hAnsi="Times New Roman" w:cs="Times New Roman"/>
          <w:sz w:val="24"/>
          <w:szCs w:val="24"/>
        </w:rPr>
      </w:pPr>
      <w:proofErr w:type="spellStart"/>
      <w:r w:rsidRPr="005A75A3">
        <w:rPr>
          <w:rFonts w:ascii="Times New Roman" w:hAnsi="Times New Roman" w:cs="Times New Roman"/>
          <w:sz w:val="24"/>
          <w:szCs w:val="24"/>
        </w:rPr>
        <w:t>Saidbeg</w:t>
      </w:r>
      <w:proofErr w:type="spellEnd"/>
      <w:r w:rsidRPr="005A75A3">
        <w:rPr>
          <w:rFonts w:ascii="Times New Roman" w:hAnsi="Times New Roman" w:cs="Times New Roman"/>
          <w:sz w:val="24"/>
          <w:szCs w:val="24"/>
        </w:rPr>
        <w:t xml:space="preserve"> </w:t>
      </w:r>
      <w:proofErr w:type="spellStart"/>
      <w:r w:rsidRPr="005A75A3">
        <w:rPr>
          <w:rFonts w:ascii="Times New Roman" w:hAnsi="Times New Roman" w:cs="Times New Roman"/>
          <w:sz w:val="24"/>
          <w:szCs w:val="24"/>
        </w:rPr>
        <w:t>Satorov</w:t>
      </w:r>
      <w:proofErr w:type="spellEnd"/>
    </w:p>
    <w:p w:rsidR="00BE3C0A" w:rsidRPr="005A75A3" w:rsidRDefault="005A75A3" w:rsidP="005A75A3">
      <w:pPr>
        <w:rPr>
          <w:rFonts w:ascii="Times New Roman" w:hAnsi="Times New Roman" w:cs="Times New Roman"/>
          <w:szCs w:val="24"/>
        </w:rPr>
      </w:pPr>
      <w:r w:rsidRPr="005A75A3">
        <w:rPr>
          <w:rFonts w:ascii="Times New Roman" w:hAnsi="Times New Roman" w:cs="Times New Roman"/>
          <w:szCs w:val="24"/>
        </w:rPr>
        <w:t>Medical-Social Institute of Tajikistan, Tajikistan</w:t>
      </w:r>
    </w:p>
    <w:p w:rsidR="00BE3C0A" w:rsidRPr="005A75A3" w:rsidRDefault="00BE3C0A" w:rsidP="005A75A3">
      <w:pPr>
        <w:jc w:val="center"/>
        <w:rPr>
          <w:rFonts w:ascii="Times New Roman" w:hAnsi="Times New Roman" w:cs="Times New Roman"/>
          <w:b/>
          <w:sz w:val="24"/>
          <w:szCs w:val="24"/>
        </w:rPr>
      </w:pPr>
      <w:r w:rsidRPr="005A75A3">
        <w:rPr>
          <w:rFonts w:ascii="Times New Roman" w:hAnsi="Times New Roman" w:cs="Times New Roman"/>
          <w:b/>
          <w:sz w:val="24"/>
          <w:szCs w:val="24"/>
        </w:rPr>
        <w:t>Abstract</w:t>
      </w:r>
      <w:bookmarkEnd w:id="0"/>
      <w:bookmarkEnd w:id="1"/>
    </w:p>
    <w:p w:rsidR="00BE3C0A" w:rsidRPr="005A75A3" w:rsidRDefault="00BE3C0A" w:rsidP="005A75A3">
      <w:pPr>
        <w:jc w:val="both"/>
        <w:rPr>
          <w:rFonts w:ascii="Times New Roman" w:hAnsi="Times New Roman" w:cs="Times New Roman"/>
          <w:sz w:val="20"/>
          <w:szCs w:val="24"/>
        </w:rPr>
      </w:pPr>
      <w:r w:rsidRPr="005A75A3">
        <w:rPr>
          <w:rFonts w:ascii="Times New Roman" w:hAnsi="Times New Roman" w:cs="Times New Roman"/>
          <w:b/>
          <w:sz w:val="20"/>
          <w:szCs w:val="24"/>
        </w:rPr>
        <w:t>Objective:</w:t>
      </w:r>
      <w:r w:rsidRPr="005A75A3">
        <w:rPr>
          <w:rFonts w:ascii="Times New Roman" w:hAnsi="Times New Roman" w:cs="Times New Roman"/>
          <w:sz w:val="20"/>
          <w:szCs w:val="24"/>
        </w:rPr>
        <w:t xml:space="preserve"> To evaluate the spectrum of antibacterial activity of plants growing in the central part of the Republic of Tajikistan. </w:t>
      </w:r>
    </w:p>
    <w:p w:rsidR="00BE3C0A" w:rsidRPr="005A75A3" w:rsidRDefault="00BE3C0A" w:rsidP="005A75A3">
      <w:pPr>
        <w:jc w:val="both"/>
        <w:rPr>
          <w:rFonts w:ascii="Times New Roman" w:hAnsi="Times New Roman" w:cs="Times New Roman"/>
          <w:sz w:val="20"/>
          <w:szCs w:val="24"/>
        </w:rPr>
      </w:pPr>
      <w:r w:rsidRPr="005A75A3">
        <w:rPr>
          <w:rFonts w:ascii="Times New Roman" w:hAnsi="Times New Roman" w:cs="Times New Roman"/>
          <w:b/>
          <w:sz w:val="20"/>
          <w:szCs w:val="24"/>
        </w:rPr>
        <w:t>Methods:</w:t>
      </w:r>
      <w:r w:rsidRPr="005A75A3">
        <w:rPr>
          <w:rFonts w:ascii="Times New Roman" w:hAnsi="Times New Roman" w:cs="Times New Roman"/>
          <w:sz w:val="20"/>
          <w:szCs w:val="24"/>
        </w:rPr>
        <w:t xml:space="preserve"> The antibacterial properties of 18 plant species from the 14 families were studied. The extract samples on dry filter discs were prepared according to the method developed at Rutgers University. Screens-to-Nature (STN) and </w:t>
      </w:r>
      <w:r w:rsidR="005A75A3" w:rsidRPr="005A75A3">
        <w:rPr>
          <w:rFonts w:ascii="Times New Roman" w:hAnsi="Times New Roman" w:cs="Times New Roman"/>
          <w:sz w:val="20"/>
          <w:szCs w:val="24"/>
        </w:rPr>
        <w:t xml:space="preserve">Disc Diffusion </w:t>
      </w:r>
      <w:r w:rsidRPr="005A75A3">
        <w:rPr>
          <w:rFonts w:ascii="Times New Roman" w:hAnsi="Times New Roman" w:cs="Times New Roman"/>
          <w:sz w:val="20"/>
          <w:szCs w:val="24"/>
        </w:rPr>
        <w:t xml:space="preserve">(DD) methods were used to assess antimicrobial properties of the extracts. The antimicrobial activity of plant extracts was determined against four types of pathogenic standard museum strains of </w:t>
      </w:r>
      <w:r w:rsidRPr="005A75A3">
        <w:rPr>
          <w:rFonts w:ascii="Times New Roman" w:hAnsi="Times New Roman" w:cs="Times New Roman"/>
          <w:i/>
          <w:sz w:val="20"/>
          <w:szCs w:val="24"/>
        </w:rPr>
        <w:t>Staphylococcus aureus</w:t>
      </w:r>
      <w:r w:rsidRPr="005A75A3">
        <w:rPr>
          <w:rFonts w:ascii="Times New Roman" w:hAnsi="Times New Roman" w:cs="Times New Roman"/>
          <w:sz w:val="20"/>
          <w:szCs w:val="24"/>
        </w:rPr>
        <w:t xml:space="preserve">, </w:t>
      </w:r>
      <w:r w:rsidRPr="005A75A3">
        <w:rPr>
          <w:rFonts w:ascii="Times New Roman" w:hAnsi="Times New Roman" w:cs="Times New Roman"/>
          <w:i/>
          <w:sz w:val="20"/>
          <w:szCs w:val="24"/>
        </w:rPr>
        <w:t>Pseudomonas aeruginosa</w:t>
      </w:r>
      <w:r w:rsidRPr="005A75A3">
        <w:rPr>
          <w:rFonts w:ascii="Times New Roman" w:hAnsi="Times New Roman" w:cs="Times New Roman"/>
          <w:sz w:val="20"/>
          <w:szCs w:val="24"/>
        </w:rPr>
        <w:t xml:space="preserve">, </w:t>
      </w:r>
      <w:r w:rsidRPr="005A75A3">
        <w:rPr>
          <w:rFonts w:ascii="Times New Roman" w:hAnsi="Times New Roman" w:cs="Times New Roman"/>
          <w:i/>
          <w:sz w:val="20"/>
          <w:szCs w:val="24"/>
        </w:rPr>
        <w:t>Escherichia coli</w:t>
      </w:r>
      <w:r w:rsidRPr="005A75A3">
        <w:rPr>
          <w:rFonts w:ascii="Times New Roman" w:hAnsi="Times New Roman" w:cs="Times New Roman"/>
          <w:sz w:val="20"/>
          <w:szCs w:val="24"/>
        </w:rPr>
        <w:t xml:space="preserve">, </w:t>
      </w:r>
      <w:r w:rsidRPr="005A75A3">
        <w:rPr>
          <w:rFonts w:ascii="Times New Roman" w:hAnsi="Times New Roman" w:cs="Times New Roman"/>
          <w:i/>
          <w:sz w:val="20"/>
          <w:szCs w:val="24"/>
        </w:rPr>
        <w:t>Klebsiella pneumonia</w:t>
      </w:r>
      <w:r w:rsidRPr="005A75A3">
        <w:rPr>
          <w:rFonts w:ascii="Times New Roman" w:hAnsi="Times New Roman" w:cs="Times New Roman"/>
          <w:sz w:val="20"/>
          <w:szCs w:val="24"/>
        </w:rPr>
        <w:t xml:space="preserve">, as well as by using the same types of microorganisms isolated from inpatients (the hospital strains). </w:t>
      </w:r>
    </w:p>
    <w:p w:rsidR="00BE3C0A" w:rsidRPr="005A75A3" w:rsidRDefault="00BE3C0A" w:rsidP="005A75A3">
      <w:pPr>
        <w:jc w:val="both"/>
        <w:rPr>
          <w:rFonts w:ascii="Times New Roman" w:hAnsi="Times New Roman" w:cs="Times New Roman"/>
          <w:sz w:val="20"/>
          <w:szCs w:val="24"/>
        </w:rPr>
      </w:pPr>
      <w:r w:rsidRPr="005A75A3">
        <w:rPr>
          <w:rFonts w:ascii="Times New Roman" w:hAnsi="Times New Roman" w:cs="Times New Roman"/>
          <w:b/>
          <w:sz w:val="20"/>
          <w:szCs w:val="24"/>
        </w:rPr>
        <w:t>Results:</w:t>
      </w:r>
      <w:r w:rsidRPr="005A75A3">
        <w:rPr>
          <w:rFonts w:ascii="Times New Roman" w:hAnsi="Times New Roman" w:cs="Times New Roman"/>
          <w:sz w:val="20"/>
          <w:szCs w:val="24"/>
        </w:rPr>
        <w:t xml:space="preserve"> Ethanol extract from leaves of </w:t>
      </w:r>
      <w:r w:rsidRPr="005A75A3">
        <w:rPr>
          <w:rFonts w:ascii="Times New Roman" w:hAnsi="Times New Roman" w:cs="Times New Roman"/>
          <w:i/>
          <w:sz w:val="20"/>
          <w:szCs w:val="24"/>
        </w:rPr>
        <w:t>Artemisia absinthium</w:t>
      </w:r>
      <w:r w:rsidRPr="005A75A3">
        <w:rPr>
          <w:rFonts w:ascii="Times New Roman" w:hAnsi="Times New Roman" w:cs="Times New Roman"/>
          <w:sz w:val="20"/>
          <w:szCs w:val="24"/>
        </w:rPr>
        <w:t xml:space="preserve"> demonstrated a broad-spectrum high degree of antimicrobial activity against both reference and hospital strains of </w:t>
      </w:r>
      <w:r w:rsidRPr="005A75A3">
        <w:rPr>
          <w:rFonts w:ascii="Times New Roman" w:hAnsi="Times New Roman" w:cs="Times New Roman"/>
          <w:i/>
          <w:sz w:val="20"/>
          <w:szCs w:val="24"/>
        </w:rPr>
        <w:t>S. aureus</w:t>
      </w:r>
      <w:r w:rsidRPr="005A75A3">
        <w:rPr>
          <w:rFonts w:ascii="Times New Roman" w:hAnsi="Times New Roman" w:cs="Times New Roman"/>
          <w:sz w:val="20"/>
          <w:szCs w:val="24"/>
        </w:rPr>
        <w:t xml:space="preserve">, </w:t>
      </w:r>
      <w:r w:rsidRPr="005A75A3">
        <w:rPr>
          <w:rFonts w:ascii="Times New Roman" w:hAnsi="Times New Roman" w:cs="Times New Roman"/>
          <w:i/>
          <w:sz w:val="20"/>
          <w:szCs w:val="24"/>
        </w:rPr>
        <w:t>P. aeruginosa</w:t>
      </w:r>
      <w:r w:rsidRPr="005A75A3">
        <w:rPr>
          <w:rFonts w:ascii="Times New Roman" w:hAnsi="Times New Roman" w:cs="Times New Roman"/>
          <w:sz w:val="20"/>
          <w:szCs w:val="24"/>
        </w:rPr>
        <w:t xml:space="preserve"> and </w:t>
      </w:r>
      <w:r w:rsidRPr="005A75A3">
        <w:rPr>
          <w:rFonts w:ascii="Times New Roman" w:hAnsi="Times New Roman" w:cs="Times New Roman"/>
          <w:i/>
          <w:sz w:val="20"/>
          <w:szCs w:val="24"/>
        </w:rPr>
        <w:t>E. coli</w:t>
      </w:r>
      <w:r w:rsidRPr="005A75A3">
        <w:rPr>
          <w:rFonts w:ascii="Times New Roman" w:hAnsi="Times New Roman" w:cs="Times New Roman"/>
          <w:sz w:val="20"/>
          <w:szCs w:val="24"/>
        </w:rPr>
        <w:t xml:space="preserve">. The </w:t>
      </w:r>
      <w:r w:rsidRPr="005A75A3">
        <w:rPr>
          <w:rFonts w:ascii="Times New Roman" w:hAnsi="Times New Roman" w:cs="Times New Roman"/>
          <w:i/>
          <w:sz w:val="20"/>
          <w:szCs w:val="24"/>
        </w:rPr>
        <w:t>Morus nigra</w:t>
      </w:r>
      <w:r w:rsidRPr="005A75A3">
        <w:rPr>
          <w:rFonts w:ascii="Times New Roman" w:hAnsi="Times New Roman" w:cs="Times New Roman"/>
          <w:sz w:val="20"/>
          <w:szCs w:val="24"/>
        </w:rPr>
        <w:t xml:space="preserve"> extract also showed broad-spectrum activity, however overall antibacterial activity was lower than in </w:t>
      </w:r>
      <w:r w:rsidRPr="005A75A3">
        <w:rPr>
          <w:rFonts w:ascii="Times New Roman" w:hAnsi="Times New Roman" w:cs="Times New Roman"/>
          <w:i/>
          <w:sz w:val="20"/>
          <w:szCs w:val="24"/>
        </w:rPr>
        <w:t>A. absinthium</w:t>
      </w:r>
      <w:r w:rsidRPr="005A75A3">
        <w:rPr>
          <w:rFonts w:ascii="Times New Roman" w:hAnsi="Times New Roman" w:cs="Times New Roman"/>
          <w:sz w:val="20"/>
          <w:szCs w:val="24"/>
        </w:rPr>
        <w:t xml:space="preserve">. In general, tested extracts were less effective against </w:t>
      </w:r>
      <w:r w:rsidRPr="005A75A3">
        <w:rPr>
          <w:rFonts w:ascii="Times New Roman" w:hAnsi="Times New Roman" w:cs="Times New Roman"/>
          <w:i/>
          <w:sz w:val="20"/>
          <w:szCs w:val="24"/>
        </w:rPr>
        <w:t>E. coli</w:t>
      </w:r>
      <w:r w:rsidRPr="005A75A3">
        <w:rPr>
          <w:rFonts w:ascii="Times New Roman" w:hAnsi="Times New Roman" w:cs="Times New Roman"/>
          <w:sz w:val="20"/>
          <w:szCs w:val="24"/>
        </w:rPr>
        <w:t xml:space="preserve">. None of the 18 tested extracts showed activity against </w:t>
      </w:r>
      <w:r w:rsidRPr="005A75A3">
        <w:rPr>
          <w:rFonts w:ascii="Times New Roman" w:hAnsi="Times New Roman" w:cs="Times New Roman"/>
          <w:i/>
          <w:sz w:val="20"/>
          <w:szCs w:val="24"/>
        </w:rPr>
        <w:t>K. pneumoniae</w:t>
      </w:r>
      <w:r w:rsidRPr="005A75A3">
        <w:rPr>
          <w:rFonts w:ascii="Times New Roman" w:hAnsi="Times New Roman" w:cs="Times New Roman"/>
          <w:sz w:val="20"/>
          <w:szCs w:val="24"/>
        </w:rPr>
        <w:t xml:space="preserve">. </w:t>
      </w:r>
    </w:p>
    <w:p w:rsidR="00BE3C0A" w:rsidRPr="005A75A3" w:rsidRDefault="00BE3C0A" w:rsidP="005A75A3">
      <w:pPr>
        <w:jc w:val="both"/>
        <w:rPr>
          <w:rFonts w:ascii="Times New Roman" w:hAnsi="Times New Roman" w:cs="Times New Roman"/>
          <w:sz w:val="20"/>
          <w:szCs w:val="24"/>
        </w:rPr>
      </w:pPr>
      <w:r w:rsidRPr="005A75A3">
        <w:rPr>
          <w:rFonts w:ascii="Times New Roman" w:hAnsi="Times New Roman" w:cs="Times New Roman"/>
          <w:b/>
          <w:sz w:val="20"/>
          <w:szCs w:val="24"/>
        </w:rPr>
        <w:t>Conclusions:</w:t>
      </w:r>
      <w:r w:rsidRPr="005A75A3">
        <w:rPr>
          <w:rFonts w:ascii="Times New Roman" w:hAnsi="Times New Roman" w:cs="Times New Roman"/>
          <w:sz w:val="20"/>
          <w:szCs w:val="24"/>
        </w:rPr>
        <w:t xml:space="preserve"> </w:t>
      </w:r>
      <w:r w:rsidRPr="005A75A3">
        <w:rPr>
          <w:rFonts w:ascii="Times New Roman" w:hAnsi="Times New Roman" w:cs="Times New Roman"/>
          <w:i/>
          <w:sz w:val="20"/>
          <w:szCs w:val="24"/>
        </w:rPr>
        <w:t>Artemisia absinthium</w:t>
      </w:r>
      <w:r w:rsidRPr="005A75A3">
        <w:rPr>
          <w:rFonts w:ascii="Times New Roman" w:hAnsi="Times New Roman" w:cs="Times New Roman"/>
          <w:sz w:val="20"/>
          <w:szCs w:val="24"/>
        </w:rPr>
        <w:t xml:space="preserve"> and </w:t>
      </w:r>
      <w:r w:rsidRPr="005A75A3">
        <w:rPr>
          <w:rFonts w:ascii="Times New Roman" w:hAnsi="Times New Roman" w:cs="Times New Roman"/>
          <w:i/>
          <w:sz w:val="20"/>
          <w:szCs w:val="24"/>
        </w:rPr>
        <w:t>Morus nigra</w:t>
      </w:r>
      <w:r w:rsidRPr="005A75A3">
        <w:rPr>
          <w:rFonts w:ascii="Times New Roman" w:hAnsi="Times New Roman" w:cs="Times New Roman"/>
          <w:sz w:val="20"/>
          <w:szCs w:val="24"/>
        </w:rPr>
        <w:t xml:space="preserve"> have a broad-spectrum antimicrobial effect and differ only in the degree of activity. The extracts of </w:t>
      </w:r>
      <w:r w:rsidRPr="005A75A3">
        <w:rPr>
          <w:rFonts w:ascii="Times New Roman" w:hAnsi="Times New Roman" w:cs="Times New Roman"/>
          <w:i/>
          <w:sz w:val="20"/>
          <w:szCs w:val="24"/>
        </w:rPr>
        <w:t>Amaranthus tricolor</w:t>
      </w:r>
      <w:r w:rsidRPr="005A75A3">
        <w:rPr>
          <w:rFonts w:ascii="Times New Roman" w:hAnsi="Times New Roman" w:cs="Times New Roman"/>
          <w:sz w:val="20"/>
          <w:szCs w:val="24"/>
        </w:rPr>
        <w:t xml:space="preserve"> and </w:t>
      </w:r>
      <w:r w:rsidRPr="005A75A3">
        <w:rPr>
          <w:rFonts w:ascii="Times New Roman" w:hAnsi="Times New Roman" w:cs="Times New Roman"/>
          <w:i/>
          <w:sz w:val="20"/>
          <w:szCs w:val="24"/>
        </w:rPr>
        <w:t>Arctium tomentosum</w:t>
      </w:r>
      <w:r w:rsidRPr="005A75A3">
        <w:rPr>
          <w:rFonts w:ascii="Times New Roman" w:hAnsi="Times New Roman" w:cs="Times New Roman"/>
          <w:sz w:val="20"/>
          <w:szCs w:val="24"/>
        </w:rPr>
        <w:t xml:space="preserve">, </w:t>
      </w:r>
      <w:r w:rsidRPr="005A75A3">
        <w:rPr>
          <w:rFonts w:ascii="Times New Roman" w:hAnsi="Times New Roman" w:cs="Times New Roman"/>
          <w:i/>
          <w:sz w:val="20"/>
          <w:szCs w:val="24"/>
        </w:rPr>
        <w:t>Indigofera tinctoria</w:t>
      </w:r>
      <w:r w:rsidRPr="005A75A3">
        <w:rPr>
          <w:rFonts w:ascii="Times New Roman" w:hAnsi="Times New Roman" w:cs="Times New Roman"/>
          <w:sz w:val="20"/>
          <w:szCs w:val="24"/>
        </w:rPr>
        <w:t xml:space="preserve">, </w:t>
      </w:r>
      <w:r w:rsidRPr="005A75A3">
        <w:rPr>
          <w:rFonts w:ascii="Times New Roman" w:hAnsi="Times New Roman" w:cs="Times New Roman"/>
          <w:i/>
          <w:sz w:val="20"/>
          <w:szCs w:val="24"/>
        </w:rPr>
        <w:t>Punica granatum</w:t>
      </w:r>
      <w:r w:rsidRPr="005A75A3">
        <w:rPr>
          <w:rFonts w:ascii="Times New Roman" w:hAnsi="Times New Roman" w:cs="Times New Roman"/>
          <w:sz w:val="20"/>
          <w:szCs w:val="24"/>
        </w:rPr>
        <w:t xml:space="preserve"> were characterized by a somewhat narrower spectrum of action. </w:t>
      </w:r>
      <w:r w:rsidRPr="005A75A3">
        <w:rPr>
          <w:rFonts w:ascii="Times New Roman" w:hAnsi="Times New Roman" w:cs="Times New Roman"/>
          <w:i/>
          <w:sz w:val="20"/>
          <w:szCs w:val="24"/>
        </w:rPr>
        <w:t>Mentha arvensis</w:t>
      </w:r>
      <w:r w:rsidRPr="005A75A3">
        <w:rPr>
          <w:rFonts w:ascii="Times New Roman" w:hAnsi="Times New Roman" w:cs="Times New Roman"/>
          <w:sz w:val="20"/>
          <w:szCs w:val="24"/>
        </w:rPr>
        <w:t xml:space="preserve"> and </w:t>
      </w:r>
      <w:r w:rsidRPr="005A75A3">
        <w:rPr>
          <w:rFonts w:ascii="Times New Roman" w:hAnsi="Times New Roman" w:cs="Times New Roman"/>
          <w:i/>
          <w:sz w:val="20"/>
          <w:szCs w:val="24"/>
        </w:rPr>
        <w:t>Allium suworowii</w:t>
      </w:r>
      <w:r w:rsidRPr="005A75A3">
        <w:rPr>
          <w:rFonts w:ascii="Times New Roman" w:hAnsi="Times New Roman" w:cs="Times New Roman"/>
          <w:sz w:val="20"/>
          <w:szCs w:val="24"/>
        </w:rPr>
        <w:t xml:space="preserve"> had approximately the same degree of inhibitory ability.</w:t>
      </w:r>
    </w:p>
    <w:p w:rsidR="00BE3C0A" w:rsidRPr="005A75A3" w:rsidRDefault="00BE3C0A" w:rsidP="005A75A3">
      <w:pPr>
        <w:rPr>
          <w:rFonts w:ascii="Times New Roman" w:hAnsi="Times New Roman" w:cs="Times New Roman"/>
          <w:b/>
          <w:sz w:val="24"/>
          <w:szCs w:val="24"/>
        </w:rPr>
      </w:pPr>
      <w:r w:rsidRPr="005A75A3">
        <w:rPr>
          <w:rFonts w:ascii="Times New Roman" w:hAnsi="Times New Roman" w:cs="Times New Roman"/>
          <w:b/>
          <w:sz w:val="24"/>
          <w:szCs w:val="24"/>
        </w:rPr>
        <w:t>Biography</w:t>
      </w:r>
    </w:p>
    <w:p w:rsidR="00BE3C0A" w:rsidRPr="005A75A3" w:rsidRDefault="00BE3C0A" w:rsidP="005A75A3">
      <w:pPr>
        <w:jc w:val="both"/>
        <w:rPr>
          <w:rFonts w:ascii="Times New Roman" w:hAnsi="Times New Roman" w:cs="Times New Roman"/>
          <w:sz w:val="20"/>
          <w:szCs w:val="24"/>
        </w:rPr>
      </w:pPr>
      <w:proofErr w:type="spellStart"/>
      <w:r w:rsidRPr="005A75A3">
        <w:rPr>
          <w:rFonts w:ascii="Times New Roman" w:hAnsi="Times New Roman" w:cs="Times New Roman"/>
          <w:sz w:val="20"/>
          <w:szCs w:val="24"/>
        </w:rPr>
        <w:t>Saidbeg</w:t>
      </w:r>
      <w:proofErr w:type="spellEnd"/>
      <w:r w:rsidRPr="005A75A3">
        <w:rPr>
          <w:rFonts w:ascii="Times New Roman" w:hAnsi="Times New Roman" w:cs="Times New Roman"/>
          <w:sz w:val="20"/>
          <w:szCs w:val="24"/>
        </w:rPr>
        <w:t xml:space="preserve"> </w:t>
      </w:r>
      <w:proofErr w:type="spellStart"/>
      <w:r w:rsidRPr="005A75A3">
        <w:rPr>
          <w:rFonts w:ascii="Times New Roman" w:hAnsi="Times New Roman" w:cs="Times New Roman"/>
          <w:sz w:val="20"/>
          <w:szCs w:val="24"/>
        </w:rPr>
        <w:t>Satorov</w:t>
      </w:r>
      <w:proofErr w:type="spellEnd"/>
      <w:r w:rsidR="005A75A3">
        <w:rPr>
          <w:rFonts w:ascii="Times New Roman" w:hAnsi="Times New Roman" w:cs="Times New Roman"/>
          <w:sz w:val="20"/>
          <w:szCs w:val="24"/>
        </w:rPr>
        <w:t xml:space="preserve"> is from</w:t>
      </w:r>
      <w:r w:rsidRPr="005A75A3">
        <w:rPr>
          <w:rFonts w:ascii="Times New Roman" w:hAnsi="Times New Roman" w:cs="Times New Roman"/>
          <w:sz w:val="20"/>
          <w:szCs w:val="24"/>
        </w:rPr>
        <w:t xml:space="preserve"> Department of Microbiology, Immunology and Virology, Medical-Social Institute of Tajikistan, Dushanbe, Tajikistan</w:t>
      </w:r>
      <w:r w:rsidR="00B673E0" w:rsidRPr="005A75A3">
        <w:rPr>
          <w:rFonts w:ascii="Times New Roman" w:hAnsi="Times New Roman" w:cs="Times New Roman"/>
          <w:sz w:val="20"/>
          <w:szCs w:val="24"/>
        </w:rPr>
        <w:t>.</w:t>
      </w:r>
      <w:bookmarkEnd w:id="2"/>
    </w:p>
    <w:sectPr w:rsidR="00BE3C0A" w:rsidRPr="005A75A3"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C0A"/>
    <w:rsid w:val="00570E62"/>
    <w:rsid w:val="005A75A3"/>
    <w:rsid w:val="00B673E0"/>
    <w:rsid w:val="00BE3C0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C0A"/>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E3C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C0A"/>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E3C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WFH</dc:creator>
  <cp:lastModifiedBy>Swetha Sandala</cp:lastModifiedBy>
  <cp:revision>3</cp:revision>
  <dcterms:created xsi:type="dcterms:W3CDTF">2023-02-23T06:33:00Z</dcterms:created>
  <dcterms:modified xsi:type="dcterms:W3CDTF">2023-02-24T06:04:00Z</dcterms:modified>
</cp:coreProperties>
</file>