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F0748">
      <w:pPr>
        <w:rPr>
          <w:rFonts w:ascii="Times New Roman" w:hAnsi="Times New Roman" w:cs="Times New Roman"/>
          <w:b/>
          <w:sz w:val="32"/>
        </w:rPr>
      </w:pPr>
      <w:r w:rsidRPr="00CF0748">
        <w:rPr>
          <w:rFonts w:ascii="Times New Roman" w:hAnsi="Times New Roman" w:cs="Times New Roman"/>
          <w:b/>
          <w:sz w:val="32"/>
        </w:rPr>
        <w:t xml:space="preserve">Efficacy and safety of </w:t>
      </w:r>
      <w:proofErr w:type="spellStart"/>
      <w:r w:rsidRPr="00CF0748">
        <w:rPr>
          <w:rFonts w:ascii="Times New Roman" w:hAnsi="Times New Roman" w:cs="Times New Roman"/>
          <w:b/>
          <w:sz w:val="32"/>
        </w:rPr>
        <w:t>sucroferric</w:t>
      </w:r>
      <w:proofErr w:type="spellEnd"/>
      <w:r w:rsidRPr="00CF0748">
        <w:rPr>
          <w:rFonts w:ascii="Times New Roman" w:hAnsi="Times New Roman" w:cs="Times New Roman"/>
          <w:b/>
          <w:sz w:val="32"/>
        </w:rPr>
        <w:t xml:space="preserve"> </w:t>
      </w:r>
      <w:proofErr w:type="spellStart"/>
      <w:r w:rsidRPr="00CF0748">
        <w:rPr>
          <w:rFonts w:ascii="Times New Roman" w:hAnsi="Times New Roman" w:cs="Times New Roman"/>
          <w:b/>
          <w:sz w:val="32"/>
        </w:rPr>
        <w:t>oxyhydroxide</w:t>
      </w:r>
      <w:proofErr w:type="spellEnd"/>
      <w:r w:rsidRPr="00CF0748">
        <w:rPr>
          <w:rFonts w:ascii="Times New Roman" w:hAnsi="Times New Roman" w:cs="Times New Roman"/>
          <w:b/>
          <w:sz w:val="32"/>
        </w:rPr>
        <w:t xml:space="preserve"> </w:t>
      </w:r>
      <w:proofErr w:type="spellStart"/>
      <w:r w:rsidRPr="00CF0748">
        <w:rPr>
          <w:rFonts w:ascii="Times New Roman" w:hAnsi="Times New Roman" w:cs="Times New Roman"/>
          <w:b/>
          <w:i/>
          <w:sz w:val="32"/>
        </w:rPr>
        <w:t>vs</w:t>
      </w:r>
      <w:proofErr w:type="spellEnd"/>
      <w:r w:rsidRPr="00CF0748">
        <w:rPr>
          <w:rFonts w:ascii="Times New Roman" w:hAnsi="Times New Roman" w:cs="Times New Roman"/>
          <w:b/>
          <w:sz w:val="32"/>
        </w:rPr>
        <w:t xml:space="preserve"> </w:t>
      </w:r>
      <w:proofErr w:type="spellStart"/>
      <w:r w:rsidRPr="00CF0748">
        <w:rPr>
          <w:rFonts w:ascii="Times New Roman" w:hAnsi="Times New Roman" w:cs="Times New Roman"/>
          <w:b/>
          <w:sz w:val="32"/>
        </w:rPr>
        <w:t>sevelamer</w:t>
      </w:r>
      <w:proofErr w:type="spellEnd"/>
      <w:r w:rsidRPr="00CF0748">
        <w:rPr>
          <w:rFonts w:ascii="Times New Roman" w:hAnsi="Times New Roman" w:cs="Times New Roman"/>
          <w:b/>
          <w:sz w:val="32"/>
        </w:rPr>
        <w:t xml:space="preserve"> carbonate in Chinese dialysis patients with </w:t>
      </w:r>
      <w:proofErr w:type="spellStart"/>
      <w:r w:rsidRPr="00CF0748">
        <w:rPr>
          <w:rFonts w:ascii="Times New Roman" w:hAnsi="Times New Roman" w:cs="Times New Roman"/>
          <w:b/>
          <w:sz w:val="32"/>
        </w:rPr>
        <w:t>hyperphosphataemia</w:t>
      </w:r>
      <w:proofErr w:type="spellEnd"/>
    </w:p>
    <w:p w:rsidR="00CF0748" w:rsidRDefault="00CF0748">
      <w:pPr>
        <w:rPr>
          <w:rFonts w:ascii="Times New Roman" w:hAnsi="Times New Roman" w:cs="Times New Roman"/>
          <w:sz w:val="24"/>
        </w:rPr>
      </w:pPr>
      <w:r w:rsidRPr="00CF0748">
        <w:rPr>
          <w:rFonts w:ascii="Times New Roman" w:hAnsi="Times New Roman" w:cs="Times New Roman"/>
          <w:sz w:val="24"/>
        </w:rPr>
        <w:t>Jun Liu</w:t>
      </w:r>
      <w:r w:rsidRPr="00CF0748">
        <w:rPr>
          <w:rFonts w:ascii="Times New Roman" w:hAnsi="Times New Roman" w:cs="Times New Roman"/>
          <w:sz w:val="24"/>
          <w:vertAlign w:val="superscript"/>
        </w:rPr>
        <w:t>1</w:t>
      </w:r>
      <w:r>
        <w:rPr>
          <w:rFonts w:ascii="Times New Roman" w:hAnsi="Times New Roman" w:cs="Times New Roman"/>
          <w:sz w:val="24"/>
        </w:rPr>
        <w:t xml:space="preserve">*, </w:t>
      </w:r>
      <w:r w:rsidRPr="00CF0748">
        <w:rPr>
          <w:rFonts w:ascii="Times New Roman" w:hAnsi="Times New Roman" w:cs="Times New Roman"/>
          <w:sz w:val="24"/>
        </w:rPr>
        <w:t>Li Zuo</w:t>
      </w:r>
      <w:r w:rsidRPr="00CF0748">
        <w:rPr>
          <w:rFonts w:ascii="Times New Roman" w:hAnsi="Times New Roman" w:cs="Times New Roman"/>
          <w:sz w:val="24"/>
          <w:vertAlign w:val="superscript"/>
        </w:rPr>
        <w:t>2</w:t>
      </w:r>
      <w:r>
        <w:rPr>
          <w:rFonts w:ascii="Times New Roman" w:hAnsi="Times New Roman" w:cs="Times New Roman"/>
          <w:sz w:val="24"/>
        </w:rPr>
        <w:t xml:space="preserve">, </w:t>
      </w:r>
      <w:r w:rsidRPr="00CF0748">
        <w:rPr>
          <w:rFonts w:ascii="Times New Roman" w:hAnsi="Times New Roman" w:cs="Times New Roman"/>
          <w:sz w:val="24"/>
        </w:rPr>
        <w:t>Sebastian Walpen</w:t>
      </w:r>
      <w:r w:rsidRPr="00CF0748">
        <w:rPr>
          <w:rFonts w:ascii="Times New Roman" w:hAnsi="Times New Roman" w:cs="Times New Roman"/>
          <w:sz w:val="24"/>
          <w:vertAlign w:val="superscript"/>
        </w:rPr>
        <w:t>3</w:t>
      </w:r>
      <w:r w:rsidRPr="00CF0748">
        <w:rPr>
          <w:rFonts w:ascii="Times New Roman" w:hAnsi="Times New Roman" w:cs="Times New Roman"/>
          <w:sz w:val="24"/>
        </w:rPr>
        <w:t>, Laurence Bernard</w:t>
      </w:r>
      <w:r w:rsidRPr="00CF0748">
        <w:rPr>
          <w:rFonts w:ascii="Times New Roman" w:hAnsi="Times New Roman" w:cs="Times New Roman"/>
          <w:sz w:val="24"/>
          <w:vertAlign w:val="superscript"/>
        </w:rPr>
        <w:t>3</w:t>
      </w:r>
      <w:r w:rsidRPr="00CF0748">
        <w:rPr>
          <w:rFonts w:ascii="Times New Roman" w:hAnsi="Times New Roman" w:cs="Times New Roman"/>
          <w:sz w:val="24"/>
        </w:rPr>
        <w:t xml:space="preserve">, </w:t>
      </w:r>
      <w:proofErr w:type="spellStart"/>
      <w:r w:rsidRPr="00CF0748">
        <w:rPr>
          <w:rFonts w:ascii="Times New Roman" w:hAnsi="Times New Roman" w:cs="Times New Roman"/>
          <w:sz w:val="24"/>
        </w:rPr>
        <w:t>Matthieu</w:t>
      </w:r>
      <w:proofErr w:type="spellEnd"/>
      <w:r w:rsidRPr="00CF0748">
        <w:rPr>
          <w:rFonts w:ascii="Times New Roman" w:hAnsi="Times New Roman" w:cs="Times New Roman"/>
          <w:sz w:val="24"/>
        </w:rPr>
        <w:t xml:space="preserve"> Marty</w:t>
      </w:r>
      <w:r w:rsidRPr="00CF0748">
        <w:rPr>
          <w:rFonts w:ascii="Times New Roman" w:hAnsi="Times New Roman" w:cs="Times New Roman"/>
          <w:sz w:val="24"/>
          <w:vertAlign w:val="superscript"/>
        </w:rPr>
        <w:t>3</w:t>
      </w:r>
      <w:r w:rsidRPr="00CF0748">
        <w:rPr>
          <w:rFonts w:ascii="Times New Roman" w:hAnsi="Times New Roman" w:cs="Times New Roman"/>
          <w:sz w:val="24"/>
        </w:rPr>
        <w:t xml:space="preserve">, and </w:t>
      </w:r>
      <w:proofErr w:type="spellStart"/>
      <w:r w:rsidRPr="00CF0748">
        <w:rPr>
          <w:rFonts w:ascii="Times New Roman" w:hAnsi="Times New Roman" w:cs="Times New Roman"/>
          <w:sz w:val="24"/>
        </w:rPr>
        <w:t>Milica</w:t>
      </w:r>
      <w:proofErr w:type="spellEnd"/>
      <w:r w:rsidRPr="00CF0748">
        <w:rPr>
          <w:rFonts w:ascii="Times New Roman" w:hAnsi="Times New Roman" w:cs="Times New Roman"/>
          <w:sz w:val="24"/>
        </w:rPr>
        <w:t xml:space="preserve"> Enoiu</w:t>
      </w:r>
      <w:r w:rsidRPr="00CF0748">
        <w:rPr>
          <w:rFonts w:ascii="Times New Roman" w:hAnsi="Times New Roman" w:cs="Times New Roman"/>
          <w:sz w:val="24"/>
          <w:vertAlign w:val="superscript"/>
        </w:rPr>
        <w:t>3</w:t>
      </w:r>
    </w:p>
    <w:p w:rsidR="00CF0748" w:rsidRPr="00CF0748" w:rsidRDefault="00CF0748" w:rsidP="00CF0748">
      <w:pPr>
        <w:spacing w:after="0"/>
        <w:rPr>
          <w:rFonts w:ascii="Times New Roman" w:hAnsi="Times New Roman" w:cs="Times New Roman"/>
        </w:rPr>
      </w:pPr>
      <w:r w:rsidRPr="00CF0748">
        <w:rPr>
          <w:rFonts w:ascii="Times New Roman" w:hAnsi="Times New Roman" w:cs="Times New Roman"/>
          <w:vertAlign w:val="superscript"/>
        </w:rPr>
        <w:t>1</w:t>
      </w:r>
      <w:r w:rsidRPr="00CF0748">
        <w:rPr>
          <w:rFonts w:ascii="Times New Roman" w:hAnsi="Times New Roman" w:cs="Times New Roman"/>
        </w:rPr>
        <w:t>Nanfang Hospital of Southern Medical University, China</w:t>
      </w:r>
    </w:p>
    <w:p w:rsidR="00CF0748" w:rsidRPr="00CF0748" w:rsidRDefault="00CF0748" w:rsidP="00CF0748">
      <w:pPr>
        <w:spacing w:after="0"/>
        <w:rPr>
          <w:rFonts w:ascii="Times New Roman" w:hAnsi="Times New Roman" w:cs="Times New Roman"/>
        </w:rPr>
      </w:pPr>
      <w:r w:rsidRPr="00CF0748">
        <w:rPr>
          <w:rFonts w:ascii="Times New Roman" w:hAnsi="Times New Roman" w:cs="Times New Roman"/>
          <w:vertAlign w:val="superscript"/>
        </w:rPr>
        <w:t>2</w:t>
      </w:r>
      <w:r w:rsidRPr="00CF0748">
        <w:rPr>
          <w:rFonts w:ascii="Times New Roman" w:hAnsi="Times New Roman" w:cs="Times New Roman"/>
        </w:rPr>
        <w:t>Peking University People’s Hospital, China</w:t>
      </w:r>
    </w:p>
    <w:p w:rsidR="00CF0748" w:rsidRPr="00CF0748" w:rsidRDefault="00CF0748">
      <w:pPr>
        <w:rPr>
          <w:rFonts w:ascii="Times New Roman" w:hAnsi="Times New Roman" w:cs="Times New Roman"/>
        </w:rPr>
      </w:pPr>
      <w:r w:rsidRPr="00CF0748">
        <w:rPr>
          <w:rFonts w:ascii="Times New Roman" w:hAnsi="Times New Roman" w:cs="Times New Roman"/>
          <w:vertAlign w:val="superscript"/>
        </w:rPr>
        <w:t>3</w:t>
      </w:r>
      <w:r w:rsidRPr="00CF0748">
        <w:rPr>
          <w:rFonts w:ascii="Times New Roman" w:hAnsi="Times New Roman" w:cs="Times New Roman"/>
        </w:rPr>
        <w:t xml:space="preserve">CSL </w:t>
      </w:r>
      <w:proofErr w:type="spellStart"/>
      <w:r w:rsidRPr="00CF0748">
        <w:rPr>
          <w:rFonts w:ascii="Times New Roman" w:hAnsi="Times New Roman" w:cs="Times New Roman"/>
        </w:rPr>
        <w:t>Vifor</w:t>
      </w:r>
      <w:proofErr w:type="spellEnd"/>
      <w:r w:rsidRPr="00CF0748">
        <w:rPr>
          <w:rFonts w:ascii="Times New Roman" w:hAnsi="Times New Roman" w:cs="Times New Roman"/>
        </w:rPr>
        <w:t>, Switzerland</w:t>
      </w:r>
    </w:p>
    <w:p w:rsidR="00CF0748" w:rsidRPr="00CF0748" w:rsidRDefault="00CF0748" w:rsidP="00CF0748">
      <w:pPr>
        <w:jc w:val="center"/>
        <w:rPr>
          <w:rFonts w:ascii="Times New Roman" w:hAnsi="Times New Roman" w:cs="Times New Roman"/>
          <w:b/>
          <w:sz w:val="24"/>
        </w:rPr>
      </w:pPr>
      <w:r w:rsidRPr="00CF0748">
        <w:rPr>
          <w:rFonts w:ascii="Times New Roman" w:hAnsi="Times New Roman" w:cs="Times New Roman"/>
          <w:b/>
          <w:sz w:val="24"/>
        </w:rPr>
        <w:t>Abstract</w:t>
      </w:r>
    </w:p>
    <w:p w:rsidR="00CF0748" w:rsidRPr="00CF0748" w:rsidRDefault="00CF0748" w:rsidP="00CF0748">
      <w:pPr>
        <w:jc w:val="both"/>
        <w:rPr>
          <w:rFonts w:ascii="Times New Roman" w:hAnsi="Times New Roman" w:cs="Times New Roman"/>
          <w:sz w:val="20"/>
        </w:rPr>
      </w:pPr>
      <w:r w:rsidRPr="00CF0748">
        <w:rPr>
          <w:rFonts w:ascii="Times New Roman" w:hAnsi="Times New Roman" w:cs="Times New Roman"/>
          <w:b/>
          <w:sz w:val="20"/>
        </w:rPr>
        <w:t>Background:</w:t>
      </w:r>
      <w:r w:rsidRPr="00CF0748">
        <w:rPr>
          <w:rFonts w:ascii="Times New Roman" w:hAnsi="Times New Roman" w:cs="Times New Roman"/>
          <w:sz w:val="20"/>
        </w:rPr>
        <w:t xml:space="preserve"> </w:t>
      </w:r>
      <w:proofErr w:type="spellStart"/>
      <w:r w:rsidRPr="00CF0748">
        <w:rPr>
          <w:rFonts w:ascii="Times New Roman" w:hAnsi="Times New Roman" w:cs="Times New Roman"/>
          <w:sz w:val="20"/>
        </w:rPr>
        <w:t>Sucroferric</w:t>
      </w:r>
      <w:proofErr w:type="spellEnd"/>
      <w:r w:rsidRPr="00CF0748">
        <w:rPr>
          <w:rFonts w:ascii="Times New Roman" w:hAnsi="Times New Roman" w:cs="Times New Roman"/>
          <w:sz w:val="20"/>
        </w:rPr>
        <w:t xml:space="preserve"> </w:t>
      </w:r>
      <w:proofErr w:type="spellStart"/>
      <w:r w:rsidRPr="00CF0748">
        <w:rPr>
          <w:rFonts w:ascii="Times New Roman" w:hAnsi="Times New Roman" w:cs="Times New Roman"/>
          <w:sz w:val="20"/>
        </w:rPr>
        <w:t>oxyhydroxide</w:t>
      </w:r>
      <w:proofErr w:type="spellEnd"/>
      <w:r w:rsidRPr="00CF0748">
        <w:rPr>
          <w:rFonts w:ascii="Times New Roman" w:hAnsi="Times New Roman" w:cs="Times New Roman"/>
          <w:sz w:val="20"/>
        </w:rPr>
        <w:t xml:space="preserve"> (SFOH) is a non-calcium-based, oral iron-containing phosphate binder that has been demonstrated to be efficacious and generally well tolerated for the control of </w:t>
      </w:r>
      <w:r w:rsidRPr="00CF0748">
        <w:rPr>
          <w:rFonts w:ascii="Times New Roman" w:hAnsi="Times New Roman" w:cs="Times New Roman"/>
          <w:sz w:val="20"/>
        </w:rPr>
        <w:t xml:space="preserve">Serum Phosphorus </w:t>
      </w:r>
      <w:r w:rsidRPr="00CF0748">
        <w:rPr>
          <w:rFonts w:ascii="Times New Roman" w:hAnsi="Times New Roman" w:cs="Times New Roman"/>
          <w:sz w:val="20"/>
        </w:rPr>
        <w:t>(</w:t>
      </w:r>
      <w:proofErr w:type="spellStart"/>
      <w:r w:rsidRPr="00CF0748">
        <w:rPr>
          <w:rFonts w:ascii="Times New Roman" w:hAnsi="Times New Roman" w:cs="Times New Roman"/>
          <w:sz w:val="20"/>
        </w:rPr>
        <w:t>sP</w:t>
      </w:r>
      <w:proofErr w:type="spellEnd"/>
      <w:r w:rsidRPr="00CF0748">
        <w:rPr>
          <w:rFonts w:ascii="Times New Roman" w:hAnsi="Times New Roman" w:cs="Times New Roman"/>
          <w:sz w:val="20"/>
        </w:rPr>
        <w:t>) in patients with chronic kidney</w:t>
      </w:r>
      <w:r>
        <w:rPr>
          <w:rFonts w:ascii="Times New Roman" w:hAnsi="Times New Roman" w:cs="Times New Roman"/>
          <w:sz w:val="20"/>
        </w:rPr>
        <w:t xml:space="preserve"> disease undergoing dialysis.</w:t>
      </w:r>
      <w:r w:rsidRPr="00CF0748">
        <w:rPr>
          <w:rFonts w:ascii="Times New Roman" w:hAnsi="Times New Roman" w:cs="Times New Roman"/>
          <w:sz w:val="20"/>
        </w:rPr>
        <w:t xml:space="preserve"> This study aimed to investigate the efficacy and safety of SFOH </w:t>
      </w:r>
      <w:proofErr w:type="spellStart"/>
      <w:r w:rsidRPr="00CF0748">
        <w:rPr>
          <w:rFonts w:ascii="Times New Roman" w:hAnsi="Times New Roman" w:cs="Times New Roman"/>
          <w:i/>
          <w:sz w:val="20"/>
        </w:rPr>
        <w:t>vs</w:t>
      </w:r>
      <w:proofErr w:type="spellEnd"/>
      <w:r w:rsidRPr="00CF0748">
        <w:rPr>
          <w:rFonts w:ascii="Times New Roman" w:hAnsi="Times New Roman" w:cs="Times New Roman"/>
          <w:sz w:val="20"/>
        </w:rPr>
        <w:t xml:space="preserve"> </w:t>
      </w:r>
      <w:proofErr w:type="spellStart"/>
      <w:r w:rsidRPr="00CF0748">
        <w:rPr>
          <w:rFonts w:ascii="Times New Roman" w:hAnsi="Times New Roman" w:cs="Times New Roman"/>
          <w:sz w:val="20"/>
        </w:rPr>
        <w:t>sevelamer</w:t>
      </w:r>
      <w:proofErr w:type="spellEnd"/>
      <w:r w:rsidRPr="00CF0748">
        <w:rPr>
          <w:rFonts w:ascii="Times New Roman" w:hAnsi="Times New Roman" w:cs="Times New Roman"/>
          <w:sz w:val="20"/>
        </w:rPr>
        <w:t xml:space="preserve"> carbonate in controlling </w:t>
      </w:r>
      <w:proofErr w:type="spellStart"/>
      <w:r w:rsidRPr="00CF0748">
        <w:rPr>
          <w:rFonts w:ascii="Times New Roman" w:hAnsi="Times New Roman" w:cs="Times New Roman"/>
          <w:sz w:val="20"/>
        </w:rPr>
        <w:t>sP</w:t>
      </w:r>
      <w:proofErr w:type="spellEnd"/>
      <w:r w:rsidRPr="00CF0748">
        <w:rPr>
          <w:rFonts w:ascii="Times New Roman" w:hAnsi="Times New Roman" w:cs="Times New Roman"/>
          <w:sz w:val="20"/>
        </w:rPr>
        <w:t xml:space="preserve"> in adult Chinese dialysis patients with </w:t>
      </w:r>
      <w:proofErr w:type="spellStart"/>
      <w:r w:rsidRPr="00CF0748">
        <w:rPr>
          <w:rFonts w:ascii="Times New Roman" w:hAnsi="Times New Roman" w:cs="Times New Roman"/>
          <w:sz w:val="20"/>
        </w:rPr>
        <w:t>hyperphosphataemia</w:t>
      </w:r>
      <w:proofErr w:type="spellEnd"/>
      <w:r w:rsidRPr="00CF0748">
        <w:rPr>
          <w:rFonts w:ascii="Times New Roman" w:hAnsi="Times New Roman" w:cs="Times New Roman"/>
          <w:sz w:val="20"/>
        </w:rPr>
        <w:t>.</w:t>
      </w:r>
    </w:p>
    <w:p w:rsidR="00CF0748" w:rsidRPr="00CF0748" w:rsidRDefault="00CF0748" w:rsidP="00CF0748">
      <w:pPr>
        <w:jc w:val="both"/>
        <w:rPr>
          <w:rFonts w:ascii="Times New Roman" w:hAnsi="Times New Roman" w:cs="Times New Roman"/>
          <w:sz w:val="20"/>
        </w:rPr>
      </w:pPr>
      <w:r w:rsidRPr="00CF0748">
        <w:rPr>
          <w:rFonts w:ascii="Times New Roman" w:hAnsi="Times New Roman" w:cs="Times New Roman"/>
          <w:b/>
          <w:sz w:val="20"/>
        </w:rPr>
        <w:t>Methods:</w:t>
      </w:r>
      <w:r w:rsidRPr="00CF0748">
        <w:rPr>
          <w:rFonts w:ascii="Times New Roman" w:hAnsi="Times New Roman" w:cs="Times New Roman"/>
          <w:sz w:val="20"/>
        </w:rPr>
        <w:t xml:space="preserve"> An open-label, </w:t>
      </w:r>
      <w:r w:rsidRPr="00CF0748">
        <w:rPr>
          <w:rFonts w:ascii="Times New Roman" w:hAnsi="Times New Roman" w:cs="Times New Roman"/>
          <w:sz w:val="20"/>
        </w:rPr>
        <w:t>randomized</w:t>
      </w:r>
      <w:r w:rsidRPr="00CF0748">
        <w:rPr>
          <w:rFonts w:ascii="Times New Roman" w:hAnsi="Times New Roman" w:cs="Times New Roman"/>
          <w:sz w:val="20"/>
        </w:rPr>
        <w:t xml:space="preserve"> (1:1), active-controlled, parallel group, </w:t>
      </w:r>
      <w:proofErr w:type="spellStart"/>
      <w:r w:rsidRPr="00CF0748">
        <w:rPr>
          <w:rFonts w:ascii="Times New Roman" w:hAnsi="Times New Roman" w:cs="Times New Roman"/>
          <w:sz w:val="20"/>
        </w:rPr>
        <w:t>multicentre</w:t>
      </w:r>
      <w:proofErr w:type="spellEnd"/>
      <w:r w:rsidRPr="00CF0748">
        <w:rPr>
          <w:rFonts w:ascii="Times New Roman" w:hAnsi="Times New Roman" w:cs="Times New Roman"/>
          <w:sz w:val="20"/>
        </w:rPr>
        <w:t xml:space="preserve">, phase III study of SFOH and </w:t>
      </w:r>
      <w:proofErr w:type="spellStart"/>
      <w:r w:rsidRPr="00CF0748">
        <w:rPr>
          <w:rFonts w:ascii="Times New Roman" w:hAnsi="Times New Roman" w:cs="Times New Roman"/>
          <w:sz w:val="20"/>
        </w:rPr>
        <w:t>sevelamer</w:t>
      </w:r>
      <w:proofErr w:type="spellEnd"/>
      <w:r w:rsidRPr="00CF0748">
        <w:rPr>
          <w:rFonts w:ascii="Times New Roman" w:hAnsi="Times New Roman" w:cs="Times New Roman"/>
          <w:sz w:val="20"/>
        </w:rPr>
        <w:t xml:space="preserve"> at starting doses of 1,500 mg/day and 2.4 g/day, respectively, was carried out in adult Chinese dialysis patients with </w:t>
      </w:r>
      <w:proofErr w:type="spellStart"/>
      <w:r w:rsidRPr="00CF0748">
        <w:rPr>
          <w:rFonts w:ascii="Times New Roman" w:hAnsi="Times New Roman" w:cs="Times New Roman"/>
          <w:sz w:val="20"/>
        </w:rPr>
        <w:t>hyperphosphataemia</w:t>
      </w:r>
      <w:proofErr w:type="spellEnd"/>
      <w:r w:rsidRPr="00CF0748">
        <w:rPr>
          <w:rFonts w:ascii="Times New Roman" w:hAnsi="Times New Roman" w:cs="Times New Roman"/>
          <w:sz w:val="20"/>
        </w:rPr>
        <w:t xml:space="preserve"> (</w:t>
      </w:r>
      <w:proofErr w:type="spellStart"/>
      <w:r w:rsidRPr="00CF0748">
        <w:rPr>
          <w:rFonts w:ascii="Times New Roman" w:hAnsi="Times New Roman" w:cs="Times New Roman"/>
          <w:sz w:val="20"/>
        </w:rPr>
        <w:t>sP</w:t>
      </w:r>
      <w:proofErr w:type="spellEnd"/>
      <w:r w:rsidRPr="00CF0748">
        <w:rPr>
          <w:rFonts w:ascii="Times New Roman" w:hAnsi="Times New Roman" w:cs="Times New Roman"/>
          <w:sz w:val="20"/>
        </w:rPr>
        <w:t xml:space="preserve"> &gt;1.78 </w:t>
      </w:r>
      <w:proofErr w:type="spellStart"/>
      <w:r w:rsidRPr="00CF0748">
        <w:rPr>
          <w:rFonts w:ascii="Times New Roman" w:hAnsi="Times New Roman" w:cs="Times New Roman"/>
          <w:sz w:val="20"/>
        </w:rPr>
        <w:t>mmol</w:t>
      </w:r>
      <w:proofErr w:type="spellEnd"/>
      <w:r w:rsidRPr="00CF0748">
        <w:rPr>
          <w:rFonts w:ascii="Times New Roman" w:hAnsi="Times New Roman" w:cs="Times New Roman"/>
          <w:sz w:val="20"/>
        </w:rPr>
        <w:t xml:space="preserve">/L) (NCT03644264). The primary efficacy endpoint was a non-inferiority analysis of change from baseline in </w:t>
      </w:r>
      <w:proofErr w:type="spellStart"/>
      <w:r w:rsidRPr="00CF0748">
        <w:rPr>
          <w:rFonts w:ascii="Times New Roman" w:hAnsi="Times New Roman" w:cs="Times New Roman"/>
          <w:sz w:val="20"/>
        </w:rPr>
        <w:t>sP</w:t>
      </w:r>
      <w:proofErr w:type="spellEnd"/>
      <w:r w:rsidRPr="00CF0748">
        <w:rPr>
          <w:rFonts w:ascii="Times New Roman" w:hAnsi="Times New Roman" w:cs="Times New Roman"/>
          <w:sz w:val="20"/>
        </w:rPr>
        <w:t xml:space="preserve"> at Week 12 (</w:t>
      </w:r>
      <w:r w:rsidRPr="00CF0748">
        <w:rPr>
          <w:rFonts w:ascii="Times New Roman" w:hAnsi="Times New Roman" w:cs="Times New Roman"/>
          <w:sz w:val="20"/>
        </w:rPr>
        <w:t xml:space="preserve">Last Observation Carried Forward </w:t>
      </w:r>
      <w:r w:rsidRPr="00CF0748">
        <w:rPr>
          <w:rFonts w:ascii="Times New Roman" w:hAnsi="Times New Roman" w:cs="Times New Roman"/>
          <w:sz w:val="20"/>
        </w:rPr>
        <w:t xml:space="preserve">[LOCF]) with SFOH </w:t>
      </w:r>
      <w:proofErr w:type="spellStart"/>
      <w:r w:rsidRPr="00CF0748">
        <w:rPr>
          <w:rFonts w:ascii="Times New Roman" w:hAnsi="Times New Roman" w:cs="Times New Roman"/>
          <w:i/>
          <w:sz w:val="20"/>
        </w:rPr>
        <w:t>vs</w:t>
      </w:r>
      <w:proofErr w:type="spellEnd"/>
      <w:r w:rsidRPr="00CF0748">
        <w:rPr>
          <w:rFonts w:ascii="Times New Roman" w:hAnsi="Times New Roman" w:cs="Times New Roman"/>
          <w:sz w:val="20"/>
        </w:rPr>
        <w:t xml:space="preserve"> </w:t>
      </w:r>
      <w:proofErr w:type="spellStart"/>
      <w:r w:rsidRPr="00CF0748">
        <w:rPr>
          <w:rFonts w:ascii="Times New Roman" w:hAnsi="Times New Roman" w:cs="Times New Roman"/>
          <w:sz w:val="20"/>
        </w:rPr>
        <w:t>sevelamer</w:t>
      </w:r>
      <w:proofErr w:type="spellEnd"/>
      <w:r w:rsidRPr="00CF0748">
        <w:rPr>
          <w:rFonts w:ascii="Times New Roman" w:hAnsi="Times New Roman" w:cs="Times New Roman"/>
          <w:sz w:val="20"/>
        </w:rPr>
        <w:t xml:space="preserve">. </w:t>
      </w:r>
    </w:p>
    <w:p w:rsidR="00CF0748" w:rsidRPr="00CF0748" w:rsidRDefault="00CF0748" w:rsidP="00CF0748">
      <w:pPr>
        <w:jc w:val="both"/>
        <w:rPr>
          <w:rFonts w:ascii="Times New Roman" w:hAnsi="Times New Roman" w:cs="Times New Roman"/>
          <w:sz w:val="20"/>
        </w:rPr>
      </w:pPr>
      <w:r w:rsidRPr="00CF0748">
        <w:rPr>
          <w:rFonts w:ascii="Times New Roman" w:hAnsi="Times New Roman" w:cs="Times New Roman"/>
          <w:b/>
          <w:sz w:val="20"/>
        </w:rPr>
        <w:t>Results:</w:t>
      </w:r>
      <w:r w:rsidRPr="00CF0748">
        <w:rPr>
          <w:rFonts w:ascii="Times New Roman" w:hAnsi="Times New Roman" w:cs="Times New Roman"/>
          <w:sz w:val="20"/>
        </w:rPr>
        <w:t xml:space="preserve"> 415 patients screened, 286 enrolled and </w:t>
      </w:r>
      <w:r w:rsidRPr="00CF0748">
        <w:rPr>
          <w:rFonts w:ascii="Times New Roman" w:hAnsi="Times New Roman" w:cs="Times New Roman"/>
          <w:sz w:val="20"/>
        </w:rPr>
        <w:t>randomized</w:t>
      </w:r>
      <w:r w:rsidRPr="00CF0748">
        <w:rPr>
          <w:rFonts w:ascii="Times New Roman" w:hAnsi="Times New Roman" w:cs="Times New Roman"/>
          <w:sz w:val="20"/>
        </w:rPr>
        <w:t xml:space="preserve"> (142 to SFOH and 144 to </w:t>
      </w:r>
      <w:proofErr w:type="spellStart"/>
      <w:r w:rsidRPr="00CF0748">
        <w:rPr>
          <w:rFonts w:ascii="Times New Roman" w:hAnsi="Times New Roman" w:cs="Times New Roman"/>
          <w:sz w:val="20"/>
        </w:rPr>
        <w:t>sevelamer</w:t>
      </w:r>
      <w:proofErr w:type="spellEnd"/>
      <w:r w:rsidRPr="00CF0748">
        <w:rPr>
          <w:rFonts w:ascii="Times New Roman" w:hAnsi="Times New Roman" w:cs="Times New Roman"/>
          <w:sz w:val="20"/>
        </w:rPr>
        <w:t>). Mean (</w:t>
      </w:r>
      <w:r w:rsidRPr="00CF0748">
        <w:rPr>
          <w:rFonts w:ascii="Times New Roman" w:hAnsi="Times New Roman" w:cs="Times New Roman"/>
          <w:sz w:val="20"/>
        </w:rPr>
        <w:t xml:space="preserve">Standard Deviation </w:t>
      </w:r>
      <w:r w:rsidRPr="00CF0748">
        <w:rPr>
          <w:rFonts w:ascii="Times New Roman" w:hAnsi="Times New Roman" w:cs="Times New Roman"/>
          <w:sz w:val="20"/>
        </w:rPr>
        <w:t xml:space="preserve">[SD]) baseline </w:t>
      </w:r>
      <w:proofErr w:type="spellStart"/>
      <w:r w:rsidRPr="00CF0748">
        <w:rPr>
          <w:rFonts w:ascii="Times New Roman" w:hAnsi="Times New Roman" w:cs="Times New Roman"/>
          <w:sz w:val="20"/>
        </w:rPr>
        <w:t>sP</w:t>
      </w:r>
      <w:proofErr w:type="spellEnd"/>
      <w:r w:rsidRPr="00CF0748">
        <w:rPr>
          <w:rFonts w:ascii="Times New Roman" w:hAnsi="Times New Roman" w:cs="Times New Roman"/>
          <w:sz w:val="20"/>
        </w:rPr>
        <w:t xml:space="preserve"> was 2.38 (0.57) and 2.38 (0.52) </w:t>
      </w:r>
      <w:proofErr w:type="spellStart"/>
      <w:r w:rsidRPr="00CF0748">
        <w:rPr>
          <w:rFonts w:ascii="Times New Roman" w:hAnsi="Times New Roman" w:cs="Times New Roman"/>
          <w:sz w:val="20"/>
        </w:rPr>
        <w:t>mmol</w:t>
      </w:r>
      <w:proofErr w:type="spellEnd"/>
      <w:r w:rsidRPr="00CF0748">
        <w:rPr>
          <w:rFonts w:ascii="Times New Roman" w:hAnsi="Times New Roman" w:cs="Times New Roman"/>
          <w:sz w:val="20"/>
        </w:rPr>
        <w:t xml:space="preserve">/L, respectively. Mean (SD) change from baseline in </w:t>
      </w:r>
      <w:proofErr w:type="spellStart"/>
      <w:r w:rsidRPr="00CF0748">
        <w:rPr>
          <w:rFonts w:ascii="Times New Roman" w:hAnsi="Times New Roman" w:cs="Times New Roman"/>
          <w:sz w:val="20"/>
        </w:rPr>
        <w:t>sP</w:t>
      </w:r>
      <w:proofErr w:type="spellEnd"/>
      <w:r w:rsidRPr="00CF0748">
        <w:rPr>
          <w:rFonts w:ascii="Times New Roman" w:hAnsi="Times New Roman" w:cs="Times New Roman"/>
          <w:sz w:val="20"/>
        </w:rPr>
        <w:t xml:space="preserve"> at Week 12 (LOCF) was –0.71 (0.60) </w:t>
      </w:r>
      <w:proofErr w:type="spellStart"/>
      <w:r w:rsidRPr="00CF0748">
        <w:rPr>
          <w:rFonts w:ascii="Times New Roman" w:hAnsi="Times New Roman" w:cs="Times New Roman"/>
          <w:i/>
          <w:sz w:val="20"/>
        </w:rPr>
        <w:t>vs</w:t>
      </w:r>
      <w:proofErr w:type="spellEnd"/>
      <w:r w:rsidRPr="00CF0748">
        <w:rPr>
          <w:rFonts w:ascii="Times New Roman" w:hAnsi="Times New Roman" w:cs="Times New Roman"/>
          <w:sz w:val="20"/>
        </w:rPr>
        <w:t xml:space="preserve"> –0.63 (0.52) </w:t>
      </w:r>
      <w:proofErr w:type="spellStart"/>
      <w:r w:rsidRPr="00CF0748">
        <w:rPr>
          <w:rFonts w:ascii="Times New Roman" w:hAnsi="Times New Roman" w:cs="Times New Roman"/>
          <w:sz w:val="20"/>
        </w:rPr>
        <w:t>mmol</w:t>
      </w:r>
      <w:proofErr w:type="spellEnd"/>
      <w:r w:rsidRPr="00CF0748">
        <w:rPr>
          <w:rFonts w:ascii="Times New Roman" w:hAnsi="Times New Roman" w:cs="Times New Roman"/>
          <w:sz w:val="20"/>
        </w:rPr>
        <w:t>/L, respecti</w:t>
      </w:r>
      <w:r>
        <w:rPr>
          <w:rFonts w:ascii="Times New Roman" w:hAnsi="Times New Roman" w:cs="Times New Roman"/>
          <w:sz w:val="20"/>
        </w:rPr>
        <w:t>vely [</w:t>
      </w:r>
      <w:r w:rsidRPr="00CF0748">
        <w:rPr>
          <w:rFonts w:ascii="Times New Roman" w:hAnsi="Times New Roman" w:cs="Times New Roman"/>
          <w:sz w:val="20"/>
        </w:rPr>
        <w:t>Figure</w:t>
      </w:r>
      <w:r>
        <w:rPr>
          <w:rFonts w:ascii="Times New Roman" w:hAnsi="Times New Roman" w:cs="Times New Roman"/>
          <w:sz w:val="20"/>
        </w:rPr>
        <w:t xml:space="preserve"> 1]</w:t>
      </w:r>
      <w:r w:rsidRPr="00CF0748">
        <w:rPr>
          <w:rFonts w:ascii="Times New Roman" w:hAnsi="Times New Roman" w:cs="Times New Roman"/>
          <w:sz w:val="20"/>
        </w:rPr>
        <w:t>, and difference (</w:t>
      </w:r>
      <w:proofErr w:type="spellStart"/>
      <w:r w:rsidRPr="00CF0748">
        <w:rPr>
          <w:rFonts w:ascii="Times New Roman" w:hAnsi="Times New Roman" w:cs="Times New Roman"/>
          <w:sz w:val="20"/>
        </w:rPr>
        <w:t>sevelamer</w:t>
      </w:r>
      <w:proofErr w:type="spellEnd"/>
      <w:r w:rsidRPr="00CF0748">
        <w:rPr>
          <w:rFonts w:ascii="Times New Roman" w:hAnsi="Times New Roman" w:cs="Times New Roman"/>
          <w:sz w:val="20"/>
        </w:rPr>
        <w:t xml:space="preserve"> minus SFOH) in least squares means (95% confidence interval [CI]) was 0.08 </w:t>
      </w:r>
      <w:proofErr w:type="spellStart"/>
      <w:r w:rsidRPr="00CF0748">
        <w:rPr>
          <w:rFonts w:ascii="Times New Roman" w:hAnsi="Times New Roman" w:cs="Times New Roman"/>
          <w:sz w:val="20"/>
        </w:rPr>
        <w:t>mmol</w:t>
      </w:r>
      <w:proofErr w:type="spellEnd"/>
      <w:r w:rsidRPr="00CF0748">
        <w:rPr>
          <w:rFonts w:ascii="Times New Roman" w:hAnsi="Times New Roman" w:cs="Times New Roman"/>
          <w:sz w:val="20"/>
        </w:rPr>
        <w:t xml:space="preserve">/L (–0.02; 0.18) with the lower limit of the 95% CI above the non-inferiority margin of –0.34 </w:t>
      </w:r>
      <w:proofErr w:type="spellStart"/>
      <w:r w:rsidRPr="00CF0748">
        <w:rPr>
          <w:rFonts w:ascii="Times New Roman" w:hAnsi="Times New Roman" w:cs="Times New Roman"/>
          <w:sz w:val="20"/>
        </w:rPr>
        <w:t>mmol</w:t>
      </w:r>
      <w:proofErr w:type="spellEnd"/>
      <w:r w:rsidRPr="00CF0748">
        <w:rPr>
          <w:rFonts w:ascii="Times New Roman" w:hAnsi="Times New Roman" w:cs="Times New Roman"/>
          <w:sz w:val="20"/>
        </w:rPr>
        <w:t xml:space="preserve">/L. SFOH reduced </w:t>
      </w:r>
      <w:proofErr w:type="spellStart"/>
      <w:r w:rsidRPr="00CF0748">
        <w:rPr>
          <w:rFonts w:ascii="Times New Roman" w:hAnsi="Times New Roman" w:cs="Times New Roman"/>
          <w:sz w:val="20"/>
        </w:rPr>
        <w:t>sP</w:t>
      </w:r>
      <w:proofErr w:type="spellEnd"/>
      <w:r w:rsidRPr="00CF0748">
        <w:rPr>
          <w:rFonts w:ascii="Times New Roman" w:hAnsi="Times New Roman" w:cs="Times New Roman"/>
          <w:sz w:val="20"/>
        </w:rPr>
        <w:t xml:space="preserve"> from baseline earlier (mean [SD] change from baseline –0.69 [0.55] </w:t>
      </w:r>
      <w:proofErr w:type="spellStart"/>
      <w:r w:rsidRPr="00CF0748">
        <w:rPr>
          <w:rFonts w:ascii="Times New Roman" w:hAnsi="Times New Roman" w:cs="Times New Roman"/>
          <w:i/>
          <w:sz w:val="20"/>
        </w:rPr>
        <w:t>vs</w:t>
      </w:r>
      <w:proofErr w:type="spellEnd"/>
      <w:r w:rsidRPr="00CF0748">
        <w:rPr>
          <w:rFonts w:ascii="Times New Roman" w:hAnsi="Times New Roman" w:cs="Times New Roman"/>
          <w:sz w:val="20"/>
        </w:rPr>
        <w:t xml:space="preserve"> –0.37 [0.47] </w:t>
      </w:r>
      <w:proofErr w:type="spellStart"/>
      <w:r w:rsidRPr="00CF0748">
        <w:rPr>
          <w:rFonts w:ascii="Times New Roman" w:hAnsi="Times New Roman" w:cs="Times New Roman"/>
          <w:sz w:val="20"/>
        </w:rPr>
        <w:t>mmol</w:t>
      </w:r>
      <w:proofErr w:type="spellEnd"/>
      <w:r w:rsidRPr="00CF0748">
        <w:rPr>
          <w:rFonts w:ascii="Times New Roman" w:hAnsi="Times New Roman" w:cs="Times New Roman"/>
          <w:sz w:val="20"/>
        </w:rPr>
        <w:t xml:space="preserve">/L at Week 4, respectively) and with a lower pill burden (mean 3.2 </w:t>
      </w:r>
      <w:proofErr w:type="spellStart"/>
      <w:r w:rsidRPr="00CF0748">
        <w:rPr>
          <w:rFonts w:ascii="Times New Roman" w:hAnsi="Times New Roman" w:cs="Times New Roman"/>
          <w:i/>
          <w:sz w:val="20"/>
        </w:rPr>
        <w:t>vs</w:t>
      </w:r>
      <w:proofErr w:type="spellEnd"/>
      <w:r w:rsidRPr="00CF0748">
        <w:rPr>
          <w:rFonts w:ascii="Times New Roman" w:hAnsi="Times New Roman" w:cs="Times New Roman"/>
          <w:sz w:val="20"/>
        </w:rPr>
        <w:t xml:space="preserve"> 6.3 tablets</w:t>
      </w:r>
      <w:bookmarkStart w:id="0" w:name="_GoBack"/>
      <w:bookmarkEnd w:id="0"/>
      <w:r w:rsidRPr="00CF0748">
        <w:rPr>
          <w:rFonts w:ascii="Times New Roman" w:hAnsi="Times New Roman" w:cs="Times New Roman"/>
          <w:sz w:val="20"/>
        </w:rPr>
        <w:t xml:space="preserve">/day over 12 weeks, respectively) than </w:t>
      </w:r>
      <w:proofErr w:type="spellStart"/>
      <w:r w:rsidRPr="00CF0748">
        <w:rPr>
          <w:rFonts w:ascii="Times New Roman" w:hAnsi="Times New Roman" w:cs="Times New Roman"/>
          <w:sz w:val="20"/>
        </w:rPr>
        <w:t>sevelamer</w:t>
      </w:r>
      <w:proofErr w:type="spellEnd"/>
      <w:r w:rsidRPr="00CF0748">
        <w:rPr>
          <w:rFonts w:ascii="Times New Roman" w:hAnsi="Times New Roman" w:cs="Times New Roman"/>
          <w:sz w:val="20"/>
        </w:rPr>
        <w:t xml:space="preserve">. Safety and tolerability of SFOH were generally comparable to </w:t>
      </w:r>
      <w:proofErr w:type="spellStart"/>
      <w:r w:rsidRPr="00CF0748">
        <w:rPr>
          <w:rFonts w:ascii="Times New Roman" w:hAnsi="Times New Roman" w:cs="Times New Roman"/>
          <w:sz w:val="20"/>
        </w:rPr>
        <w:t>sevelamer</w:t>
      </w:r>
      <w:proofErr w:type="spellEnd"/>
      <w:r w:rsidRPr="00CF0748">
        <w:rPr>
          <w:rFonts w:ascii="Times New Roman" w:hAnsi="Times New Roman" w:cs="Times New Roman"/>
          <w:sz w:val="20"/>
        </w:rPr>
        <w:t xml:space="preserve"> and no new safety signals were observed for SFOH.</w:t>
      </w:r>
    </w:p>
    <w:p w:rsidR="00CF0748" w:rsidRDefault="00CF0748" w:rsidP="00CF0748">
      <w:pPr>
        <w:jc w:val="both"/>
        <w:rPr>
          <w:rFonts w:ascii="Times New Roman" w:hAnsi="Times New Roman" w:cs="Times New Roman"/>
          <w:sz w:val="20"/>
        </w:rPr>
      </w:pPr>
      <w:r w:rsidRPr="00CF0748">
        <w:rPr>
          <w:rFonts w:ascii="Times New Roman" w:hAnsi="Times New Roman" w:cs="Times New Roman"/>
          <w:b/>
          <w:sz w:val="20"/>
        </w:rPr>
        <w:t>Conclusion:</w:t>
      </w:r>
      <w:r w:rsidRPr="00CF0748">
        <w:rPr>
          <w:rFonts w:ascii="Times New Roman" w:hAnsi="Times New Roman" w:cs="Times New Roman"/>
          <w:sz w:val="20"/>
        </w:rPr>
        <w:t xml:space="preserve"> SFOH reduced </w:t>
      </w:r>
      <w:proofErr w:type="spellStart"/>
      <w:r w:rsidRPr="00CF0748">
        <w:rPr>
          <w:rFonts w:ascii="Times New Roman" w:hAnsi="Times New Roman" w:cs="Times New Roman"/>
          <w:sz w:val="20"/>
        </w:rPr>
        <w:t>sP</w:t>
      </w:r>
      <w:proofErr w:type="spellEnd"/>
      <w:r w:rsidRPr="00CF0748">
        <w:rPr>
          <w:rFonts w:ascii="Times New Roman" w:hAnsi="Times New Roman" w:cs="Times New Roman"/>
          <w:sz w:val="20"/>
        </w:rPr>
        <w:t xml:space="preserve"> from baseline and was non-inferior to </w:t>
      </w:r>
      <w:proofErr w:type="spellStart"/>
      <w:r w:rsidRPr="00CF0748">
        <w:rPr>
          <w:rFonts w:ascii="Times New Roman" w:hAnsi="Times New Roman" w:cs="Times New Roman"/>
          <w:sz w:val="20"/>
        </w:rPr>
        <w:t>sevelamer</w:t>
      </w:r>
      <w:proofErr w:type="spellEnd"/>
      <w:r w:rsidRPr="00CF0748">
        <w:rPr>
          <w:rFonts w:ascii="Times New Roman" w:hAnsi="Times New Roman" w:cs="Times New Roman"/>
          <w:sz w:val="20"/>
        </w:rPr>
        <w:t xml:space="preserve"> after 12 weeks of treatment in Chinese patients on dialysis with </w:t>
      </w:r>
      <w:proofErr w:type="spellStart"/>
      <w:r w:rsidRPr="00CF0748">
        <w:rPr>
          <w:rFonts w:ascii="Times New Roman" w:hAnsi="Times New Roman" w:cs="Times New Roman"/>
          <w:sz w:val="20"/>
        </w:rPr>
        <w:t>hyperphosphataemia</w:t>
      </w:r>
      <w:proofErr w:type="spellEnd"/>
      <w:r w:rsidRPr="00CF0748">
        <w:rPr>
          <w:rFonts w:ascii="Times New Roman" w:hAnsi="Times New Roman" w:cs="Times New Roman"/>
          <w:sz w:val="20"/>
        </w:rPr>
        <w:t>. SFOH is an appropriate treatment option for these patients.</w:t>
      </w:r>
    </w:p>
    <w:p w:rsidR="00CF0748" w:rsidRDefault="00CF0748" w:rsidP="00CF074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6F08276">
            <wp:extent cx="3353472" cy="18685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52800" cy="1868183"/>
                    </a:xfrm>
                    <a:prstGeom prst="rect">
                      <a:avLst/>
                    </a:prstGeom>
                    <a:noFill/>
                  </pic:spPr>
                </pic:pic>
              </a:graphicData>
            </a:graphic>
          </wp:inline>
        </w:drawing>
      </w:r>
    </w:p>
    <w:p w:rsidR="00CF0748" w:rsidRDefault="00CF0748" w:rsidP="00CF0748">
      <w:pPr>
        <w:jc w:val="center"/>
        <w:rPr>
          <w:rFonts w:ascii="Times New Roman" w:hAnsi="Times New Roman" w:cs="Times New Roman"/>
          <w:i/>
          <w:sz w:val="18"/>
        </w:rPr>
      </w:pPr>
      <w:proofErr w:type="gramStart"/>
      <w:r w:rsidRPr="00CF0748">
        <w:rPr>
          <w:rFonts w:ascii="Times New Roman" w:hAnsi="Times New Roman" w:cs="Times New Roman"/>
          <w:b/>
          <w:i/>
          <w:sz w:val="18"/>
        </w:rPr>
        <w:t>Figure 1.</w:t>
      </w:r>
      <w:proofErr w:type="gramEnd"/>
      <w:r w:rsidRPr="00CF0748">
        <w:rPr>
          <w:rFonts w:ascii="Times New Roman" w:hAnsi="Times New Roman" w:cs="Times New Roman"/>
          <w:i/>
          <w:sz w:val="18"/>
        </w:rPr>
        <w:t xml:space="preserve"> </w:t>
      </w:r>
      <w:r w:rsidRPr="00CF0748">
        <w:rPr>
          <w:rFonts w:ascii="Times New Roman" w:hAnsi="Times New Roman" w:cs="Times New Roman"/>
          <w:i/>
          <w:sz w:val="18"/>
        </w:rPr>
        <w:t>Change from baseline in serum phosphorus at Week 12 (last observation carried forward). The box is defined by Q1 (lower line) and Q3 (upper line), and the distance between these is the interquartile range (IQR). Inside the box, the line represents the median (Q2), and the dot represents the mean. The whisker boundaries represent the minimum and maximum.</w:t>
      </w:r>
    </w:p>
    <w:p w:rsidR="00CF0748" w:rsidRPr="00CF0748" w:rsidRDefault="00CF0748" w:rsidP="00CF0748">
      <w:pPr>
        <w:rPr>
          <w:rFonts w:ascii="Times New Roman" w:hAnsi="Times New Roman" w:cs="Times New Roman"/>
          <w:b/>
          <w:sz w:val="24"/>
        </w:rPr>
      </w:pPr>
      <w:r w:rsidRPr="00CF0748">
        <w:rPr>
          <w:rFonts w:ascii="Times New Roman" w:hAnsi="Times New Roman" w:cs="Times New Roman"/>
          <w:b/>
          <w:sz w:val="24"/>
        </w:rPr>
        <w:lastRenderedPageBreak/>
        <w:t>Biography</w:t>
      </w:r>
    </w:p>
    <w:p w:rsidR="00CF0748" w:rsidRPr="00CF0748" w:rsidRDefault="00CF0748" w:rsidP="00CF0748">
      <w:pPr>
        <w:jc w:val="both"/>
        <w:rPr>
          <w:rFonts w:ascii="Times New Roman" w:hAnsi="Times New Roman" w:cs="Times New Roman"/>
          <w:sz w:val="20"/>
        </w:rPr>
      </w:pPr>
      <w:r w:rsidRPr="00CF0748">
        <w:rPr>
          <w:rFonts w:ascii="Times New Roman" w:hAnsi="Times New Roman" w:cs="Times New Roman"/>
          <w:sz w:val="20"/>
        </w:rPr>
        <w:t xml:space="preserve">Jun Liu is head of the Blood Purification Center in the Nephrology Department of the National Clinical Research Center for Kidney Disease, at </w:t>
      </w:r>
      <w:proofErr w:type="spellStart"/>
      <w:r w:rsidRPr="00CF0748">
        <w:rPr>
          <w:rFonts w:ascii="Times New Roman" w:hAnsi="Times New Roman" w:cs="Times New Roman"/>
          <w:sz w:val="20"/>
        </w:rPr>
        <w:t>NanFang</w:t>
      </w:r>
      <w:proofErr w:type="spellEnd"/>
      <w:r w:rsidRPr="00CF0748">
        <w:rPr>
          <w:rFonts w:ascii="Times New Roman" w:hAnsi="Times New Roman" w:cs="Times New Roman"/>
          <w:sz w:val="20"/>
        </w:rPr>
        <w:t xml:space="preserve"> Hospital. His research interests in kidney disease treatment include conservative management of acute and chronic renal failure, and blood purification therapy. He is member of the Chinese Hospital Association of Blood Purification, the Blood Purification Access Academic Group in China, the Guangdong Medical Doctor Association in Nephrology and the Blood Purification of Chinese Medical Association. He is Vice Chairman of the Guangdong Provincial Hospital Association of Blood Purification and the Guangdong Blood Purification Therapy Control Center, and is Head of the Blood Purification Access Academic Group in Guangdong. He has supervised seven nationally and provincially funded projects. He came third in the national new drug development award and first in the Guangdong technology progress award. He has authored over 60 articles and contributed to three treatises.</w:t>
      </w:r>
    </w:p>
    <w:sectPr w:rsidR="00CF0748" w:rsidRPr="00CF07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748"/>
    <w:rsid w:val="00474203"/>
    <w:rsid w:val="00535872"/>
    <w:rsid w:val="00924B33"/>
    <w:rsid w:val="00CF0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07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7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07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7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562</Words>
  <Characters>3205</Characters>
  <Application>Microsoft Office Word</Application>
  <DocSecurity>0</DocSecurity>
  <Lines>26</Lines>
  <Paragraphs>7</Paragraphs>
  <ScaleCrop>false</ScaleCrop>
  <Company/>
  <LinksUpToDate>false</LinksUpToDate>
  <CharactersWithSpaces>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2022-09-23T06:04:00Z</dcterms:created>
  <dcterms:modified xsi:type="dcterms:W3CDTF">2022-09-23T06:19:00Z</dcterms:modified>
</cp:coreProperties>
</file>