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4F39D2">
      <w:pPr>
        <w:rPr>
          <w:rFonts w:ascii="Times New Roman" w:hAnsi="Times New Roman" w:cs="Times New Roman"/>
          <w:b/>
          <w:sz w:val="32"/>
        </w:rPr>
      </w:pPr>
      <w:bookmarkStart w:id="0" w:name="_GoBack"/>
      <w:r w:rsidRPr="004F39D2">
        <w:rPr>
          <w:rFonts w:ascii="Times New Roman" w:hAnsi="Times New Roman" w:cs="Times New Roman"/>
          <w:b/>
          <w:sz w:val="32"/>
        </w:rPr>
        <w:t xml:space="preserve">Intravenous sodium </w:t>
      </w:r>
      <w:proofErr w:type="spellStart"/>
      <w:r w:rsidRPr="004F39D2">
        <w:rPr>
          <w:rFonts w:ascii="Times New Roman" w:hAnsi="Times New Roman" w:cs="Times New Roman"/>
          <w:b/>
          <w:sz w:val="32"/>
        </w:rPr>
        <w:t>thiosulphate</w:t>
      </w:r>
      <w:proofErr w:type="spellEnd"/>
      <w:r w:rsidRPr="004F39D2">
        <w:rPr>
          <w:rFonts w:ascii="Times New Roman" w:hAnsi="Times New Roman" w:cs="Times New Roman"/>
          <w:b/>
          <w:sz w:val="32"/>
        </w:rPr>
        <w:t xml:space="preserve"> for vascular calcification of hemodialysis </w:t>
      </w:r>
      <w:r>
        <w:rPr>
          <w:rFonts w:ascii="Times New Roman" w:hAnsi="Times New Roman" w:cs="Times New Roman"/>
          <w:b/>
          <w:sz w:val="32"/>
        </w:rPr>
        <w:t xml:space="preserve">patients: </w:t>
      </w:r>
      <w:r w:rsidRPr="004F39D2">
        <w:rPr>
          <w:rFonts w:ascii="Times New Roman" w:hAnsi="Times New Roman" w:cs="Times New Roman"/>
          <w:b/>
          <w:sz w:val="32"/>
        </w:rPr>
        <w:t>A systematic review and meta-analysis</w:t>
      </w:r>
    </w:p>
    <w:p w:rsidR="004F39D2" w:rsidRDefault="004F39D2">
      <w:pPr>
        <w:rPr>
          <w:rFonts w:ascii="Times New Roman" w:hAnsi="Times New Roman" w:cs="Times New Roman"/>
          <w:sz w:val="24"/>
        </w:rPr>
      </w:pPr>
      <w:r w:rsidRPr="004F39D2">
        <w:rPr>
          <w:rFonts w:ascii="Times New Roman" w:hAnsi="Times New Roman" w:cs="Times New Roman"/>
          <w:sz w:val="24"/>
        </w:rPr>
        <w:t>Wen Wen</w:t>
      </w:r>
      <w:r w:rsidRPr="004F39D2">
        <w:rPr>
          <w:rFonts w:ascii="Times New Roman" w:hAnsi="Times New Roman" w:cs="Times New Roman"/>
          <w:sz w:val="24"/>
          <w:vertAlign w:val="superscript"/>
        </w:rPr>
        <w:t>1,2</w:t>
      </w:r>
      <w:r>
        <w:rPr>
          <w:rFonts w:ascii="Times New Roman" w:hAnsi="Times New Roman" w:cs="Times New Roman"/>
          <w:sz w:val="24"/>
        </w:rPr>
        <w:t xml:space="preserve">*, </w:t>
      </w:r>
      <w:r w:rsidRPr="004F39D2">
        <w:rPr>
          <w:rFonts w:ascii="Times New Roman" w:hAnsi="Times New Roman" w:cs="Times New Roman"/>
          <w:sz w:val="24"/>
        </w:rPr>
        <w:t>Ignacio Portales-Castillo</w:t>
      </w:r>
      <w:r w:rsidRPr="004F39D2">
        <w:rPr>
          <w:rFonts w:ascii="Times New Roman" w:hAnsi="Times New Roman" w:cs="Times New Roman"/>
          <w:sz w:val="24"/>
          <w:vertAlign w:val="superscript"/>
        </w:rPr>
        <w:t>2</w:t>
      </w:r>
      <w:r>
        <w:rPr>
          <w:rFonts w:ascii="Times New Roman" w:hAnsi="Times New Roman" w:cs="Times New Roman"/>
          <w:sz w:val="24"/>
        </w:rPr>
        <w:t>,</w:t>
      </w:r>
      <w:r w:rsidRPr="004F39D2">
        <w:rPr>
          <w:rFonts w:ascii="Times New Roman" w:hAnsi="Times New Roman" w:cs="Times New Roman"/>
          <w:sz w:val="24"/>
        </w:rPr>
        <w:t xml:space="preserve"> </w:t>
      </w:r>
      <w:proofErr w:type="spellStart"/>
      <w:r w:rsidRPr="004F39D2">
        <w:rPr>
          <w:rFonts w:ascii="Times New Roman" w:hAnsi="Times New Roman" w:cs="Times New Roman"/>
          <w:sz w:val="24"/>
        </w:rPr>
        <w:t>Rituvanthikaa</w:t>
      </w:r>
      <w:proofErr w:type="spellEnd"/>
      <w:r w:rsidRPr="004F39D2">
        <w:rPr>
          <w:rFonts w:ascii="Times New Roman" w:hAnsi="Times New Roman" w:cs="Times New Roman"/>
          <w:sz w:val="24"/>
        </w:rPr>
        <w:t xml:space="preserve"> Seethapathy</w:t>
      </w:r>
      <w:r w:rsidRPr="004F39D2">
        <w:rPr>
          <w:rFonts w:ascii="Times New Roman" w:hAnsi="Times New Roman" w:cs="Times New Roman"/>
          <w:sz w:val="24"/>
          <w:vertAlign w:val="superscript"/>
        </w:rPr>
        <w:t>2</w:t>
      </w:r>
      <w:r>
        <w:rPr>
          <w:rFonts w:ascii="Times New Roman" w:hAnsi="Times New Roman" w:cs="Times New Roman"/>
          <w:sz w:val="24"/>
        </w:rPr>
        <w:t>,</w:t>
      </w:r>
      <w:r w:rsidRPr="004F39D2">
        <w:rPr>
          <w:rFonts w:ascii="Times New Roman" w:hAnsi="Times New Roman" w:cs="Times New Roman"/>
          <w:sz w:val="24"/>
        </w:rPr>
        <w:t xml:space="preserve"> Scott Krinsky</w:t>
      </w:r>
      <w:r w:rsidRPr="004F39D2">
        <w:rPr>
          <w:rFonts w:ascii="Times New Roman" w:hAnsi="Times New Roman" w:cs="Times New Roman"/>
          <w:sz w:val="24"/>
          <w:vertAlign w:val="superscript"/>
        </w:rPr>
        <w:t>2</w:t>
      </w:r>
      <w:r>
        <w:rPr>
          <w:rFonts w:ascii="Times New Roman" w:hAnsi="Times New Roman" w:cs="Times New Roman"/>
          <w:sz w:val="24"/>
        </w:rPr>
        <w:t>,</w:t>
      </w:r>
      <w:r w:rsidRPr="004F39D2">
        <w:rPr>
          <w:rFonts w:ascii="Times New Roman" w:hAnsi="Times New Roman" w:cs="Times New Roman"/>
          <w:sz w:val="24"/>
        </w:rPr>
        <w:t xml:space="preserve"> Daniela Kroshinsky</w:t>
      </w:r>
      <w:r w:rsidRPr="004F39D2">
        <w:rPr>
          <w:rFonts w:ascii="Times New Roman" w:hAnsi="Times New Roman" w:cs="Times New Roman"/>
          <w:sz w:val="24"/>
          <w:vertAlign w:val="superscript"/>
        </w:rPr>
        <w:t>2</w:t>
      </w:r>
      <w:r>
        <w:rPr>
          <w:rFonts w:ascii="Times New Roman" w:hAnsi="Times New Roman" w:cs="Times New Roman"/>
          <w:sz w:val="24"/>
        </w:rPr>
        <w:t>,</w:t>
      </w:r>
      <w:r w:rsidRPr="004F39D2">
        <w:rPr>
          <w:rFonts w:ascii="Times New Roman" w:hAnsi="Times New Roman" w:cs="Times New Roman"/>
          <w:sz w:val="24"/>
        </w:rPr>
        <w:t xml:space="preserve"> </w:t>
      </w:r>
      <w:proofErr w:type="spellStart"/>
      <w:r w:rsidRPr="004F39D2">
        <w:rPr>
          <w:rFonts w:ascii="Times New Roman" w:hAnsi="Times New Roman" w:cs="Times New Roman"/>
          <w:sz w:val="24"/>
        </w:rPr>
        <w:t>Sahir</w:t>
      </w:r>
      <w:proofErr w:type="spellEnd"/>
      <w:r w:rsidRPr="004F39D2">
        <w:rPr>
          <w:rFonts w:ascii="Times New Roman" w:hAnsi="Times New Roman" w:cs="Times New Roman"/>
          <w:sz w:val="24"/>
        </w:rPr>
        <w:t xml:space="preserve"> Kalim</w:t>
      </w:r>
      <w:r w:rsidRPr="004F39D2">
        <w:rPr>
          <w:rFonts w:ascii="Times New Roman" w:hAnsi="Times New Roman" w:cs="Times New Roman"/>
          <w:sz w:val="24"/>
          <w:vertAlign w:val="superscript"/>
        </w:rPr>
        <w:t>2</w:t>
      </w:r>
      <w:r>
        <w:rPr>
          <w:rFonts w:ascii="Times New Roman" w:hAnsi="Times New Roman" w:cs="Times New Roman"/>
          <w:sz w:val="24"/>
        </w:rPr>
        <w:t>,</w:t>
      </w:r>
      <w:r w:rsidRPr="004F39D2">
        <w:rPr>
          <w:rFonts w:ascii="Times New Roman" w:hAnsi="Times New Roman" w:cs="Times New Roman"/>
          <w:sz w:val="24"/>
        </w:rPr>
        <w:t xml:space="preserve"> Jeremy Goverman</w:t>
      </w:r>
      <w:r w:rsidRPr="004F39D2">
        <w:rPr>
          <w:rFonts w:ascii="Times New Roman" w:hAnsi="Times New Roman" w:cs="Times New Roman"/>
          <w:sz w:val="24"/>
          <w:vertAlign w:val="superscript"/>
        </w:rPr>
        <w:t>2</w:t>
      </w:r>
      <w:r>
        <w:rPr>
          <w:rFonts w:ascii="Times New Roman" w:hAnsi="Times New Roman" w:cs="Times New Roman"/>
          <w:sz w:val="24"/>
        </w:rPr>
        <w:t>,</w:t>
      </w:r>
      <w:r w:rsidRPr="004F39D2">
        <w:rPr>
          <w:rFonts w:ascii="Times New Roman" w:hAnsi="Times New Roman" w:cs="Times New Roman"/>
          <w:sz w:val="24"/>
        </w:rPr>
        <w:t xml:space="preserve"> Rosalynn M. Nazarian</w:t>
      </w:r>
      <w:r w:rsidRPr="004F39D2">
        <w:rPr>
          <w:rFonts w:ascii="Times New Roman" w:hAnsi="Times New Roman" w:cs="Times New Roman"/>
          <w:sz w:val="24"/>
          <w:vertAlign w:val="superscript"/>
        </w:rPr>
        <w:t>2</w:t>
      </w:r>
      <w:r>
        <w:rPr>
          <w:rFonts w:ascii="Times New Roman" w:hAnsi="Times New Roman" w:cs="Times New Roman"/>
          <w:sz w:val="24"/>
        </w:rPr>
        <w:t>,</w:t>
      </w:r>
      <w:r w:rsidRPr="004F39D2">
        <w:rPr>
          <w:rFonts w:ascii="Times New Roman" w:hAnsi="Times New Roman" w:cs="Times New Roman"/>
          <w:sz w:val="24"/>
        </w:rPr>
        <w:t xml:space="preserve"> </w:t>
      </w:r>
      <w:proofErr w:type="spellStart"/>
      <w:r w:rsidRPr="004F39D2">
        <w:rPr>
          <w:rFonts w:ascii="Times New Roman" w:hAnsi="Times New Roman" w:cs="Times New Roman"/>
          <w:sz w:val="24"/>
        </w:rPr>
        <w:t>Vipul</w:t>
      </w:r>
      <w:proofErr w:type="spellEnd"/>
      <w:r w:rsidRPr="004F39D2">
        <w:rPr>
          <w:rFonts w:ascii="Times New Roman" w:hAnsi="Times New Roman" w:cs="Times New Roman"/>
          <w:sz w:val="24"/>
        </w:rPr>
        <w:t xml:space="preserve"> Chitalia</w:t>
      </w:r>
      <w:r w:rsidRPr="004F39D2">
        <w:rPr>
          <w:rFonts w:ascii="Times New Roman" w:hAnsi="Times New Roman" w:cs="Times New Roman"/>
          <w:sz w:val="24"/>
          <w:vertAlign w:val="superscript"/>
        </w:rPr>
        <w:t>3</w:t>
      </w:r>
      <w:r>
        <w:rPr>
          <w:rFonts w:ascii="Times New Roman" w:hAnsi="Times New Roman" w:cs="Times New Roman"/>
          <w:sz w:val="24"/>
        </w:rPr>
        <w:t>,</w:t>
      </w:r>
      <w:r w:rsidRPr="004F39D2">
        <w:rPr>
          <w:rFonts w:ascii="Times New Roman" w:hAnsi="Times New Roman" w:cs="Times New Roman"/>
          <w:sz w:val="24"/>
        </w:rPr>
        <w:t xml:space="preserve"> Rajeev Malhotra</w:t>
      </w:r>
      <w:r w:rsidRPr="004F39D2">
        <w:rPr>
          <w:rFonts w:ascii="Times New Roman" w:hAnsi="Times New Roman" w:cs="Times New Roman"/>
          <w:sz w:val="24"/>
          <w:vertAlign w:val="superscript"/>
        </w:rPr>
        <w:t>4</w:t>
      </w:r>
      <w:r>
        <w:rPr>
          <w:rFonts w:ascii="Times New Roman" w:hAnsi="Times New Roman" w:cs="Times New Roman"/>
          <w:sz w:val="24"/>
        </w:rPr>
        <w:t>,</w:t>
      </w:r>
      <w:r w:rsidRPr="004F39D2">
        <w:rPr>
          <w:rFonts w:ascii="Times New Roman" w:hAnsi="Times New Roman" w:cs="Times New Roman"/>
          <w:sz w:val="24"/>
        </w:rPr>
        <w:t xml:space="preserve"> Rafael Kramann</w:t>
      </w:r>
      <w:r w:rsidRPr="004F39D2">
        <w:rPr>
          <w:rFonts w:ascii="Times New Roman" w:hAnsi="Times New Roman" w:cs="Times New Roman"/>
          <w:sz w:val="24"/>
          <w:vertAlign w:val="superscript"/>
        </w:rPr>
        <w:t>5,6</w:t>
      </w:r>
      <w:r>
        <w:rPr>
          <w:rFonts w:ascii="Times New Roman" w:hAnsi="Times New Roman" w:cs="Times New Roman"/>
          <w:sz w:val="24"/>
        </w:rPr>
        <w:t>,</w:t>
      </w:r>
      <w:r w:rsidRPr="004F39D2">
        <w:rPr>
          <w:rFonts w:ascii="Times New Roman" w:hAnsi="Times New Roman" w:cs="Times New Roman"/>
          <w:sz w:val="24"/>
        </w:rPr>
        <w:t xml:space="preserve"> Cindy K. Malhotra</w:t>
      </w:r>
      <w:r w:rsidRPr="004F39D2">
        <w:rPr>
          <w:rFonts w:ascii="Times New Roman" w:hAnsi="Times New Roman" w:cs="Times New Roman"/>
          <w:sz w:val="24"/>
          <w:vertAlign w:val="superscript"/>
        </w:rPr>
        <w:t>2</w:t>
      </w:r>
      <w:r>
        <w:rPr>
          <w:rFonts w:ascii="Times New Roman" w:hAnsi="Times New Roman" w:cs="Times New Roman"/>
          <w:sz w:val="24"/>
        </w:rPr>
        <w:t xml:space="preserve"> and</w:t>
      </w:r>
      <w:r w:rsidRPr="004F39D2">
        <w:rPr>
          <w:rFonts w:ascii="Times New Roman" w:hAnsi="Times New Roman" w:cs="Times New Roman"/>
          <w:sz w:val="24"/>
        </w:rPr>
        <w:t xml:space="preserve"> </w:t>
      </w:r>
      <w:proofErr w:type="spellStart"/>
      <w:r w:rsidRPr="004F39D2">
        <w:rPr>
          <w:rFonts w:ascii="Times New Roman" w:hAnsi="Times New Roman" w:cs="Times New Roman"/>
          <w:sz w:val="24"/>
        </w:rPr>
        <w:t>Sagar</w:t>
      </w:r>
      <w:proofErr w:type="spellEnd"/>
      <w:r w:rsidRPr="004F39D2">
        <w:rPr>
          <w:rFonts w:ascii="Times New Roman" w:hAnsi="Times New Roman" w:cs="Times New Roman"/>
          <w:sz w:val="24"/>
        </w:rPr>
        <w:t xml:space="preserve"> U. Nigwekar</w:t>
      </w:r>
      <w:r w:rsidRPr="004F39D2">
        <w:rPr>
          <w:rFonts w:ascii="Times New Roman" w:hAnsi="Times New Roman" w:cs="Times New Roman"/>
          <w:sz w:val="24"/>
          <w:vertAlign w:val="superscript"/>
        </w:rPr>
        <w:t>2</w:t>
      </w:r>
    </w:p>
    <w:p w:rsidR="004F39D2" w:rsidRPr="004F39D2" w:rsidRDefault="004F39D2" w:rsidP="004F39D2">
      <w:pPr>
        <w:spacing w:after="0"/>
        <w:rPr>
          <w:rFonts w:ascii="Times New Roman" w:hAnsi="Times New Roman" w:cs="Times New Roman"/>
        </w:rPr>
      </w:pPr>
      <w:r w:rsidRPr="004F39D2">
        <w:rPr>
          <w:rFonts w:ascii="Times New Roman" w:hAnsi="Times New Roman" w:cs="Times New Roman"/>
          <w:vertAlign w:val="superscript"/>
        </w:rPr>
        <w:t>1</w:t>
      </w:r>
      <w:r w:rsidRPr="004F39D2">
        <w:rPr>
          <w:rFonts w:ascii="Times New Roman" w:hAnsi="Times New Roman" w:cs="Times New Roman"/>
        </w:rPr>
        <w:t>Tsinghua University, China</w:t>
      </w:r>
    </w:p>
    <w:p w:rsidR="004F39D2" w:rsidRPr="004F39D2" w:rsidRDefault="004F39D2" w:rsidP="004F39D2">
      <w:pPr>
        <w:spacing w:after="0"/>
        <w:rPr>
          <w:rFonts w:ascii="Times New Roman" w:hAnsi="Times New Roman" w:cs="Times New Roman"/>
        </w:rPr>
      </w:pPr>
      <w:r w:rsidRPr="004F39D2">
        <w:rPr>
          <w:rFonts w:ascii="Times New Roman" w:hAnsi="Times New Roman" w:cs="Times New Roman"/>
          <w:vertAlign w:val="superscript"/>
        </w:rPr>
        <w:t>2</w:t>
      </w:r>
      <w:r w:rsidRPr="004F39D2">
        <w:rPr>
          <w:rFonts w:ascii="Times New Roman" w:hAnsi="Times New Roman" w:cs="Times New Roman"/>
        </w:rPr>
        <w:t>Massachusetts General Hospital, USA</w:t>
      </w:r>
    </w:p>
    <w:p w:rsidR="004F39D2" w:rsidRPr="004F39D2" w:rsidRDefault="004F39D2" w:rsidP="004F39D2">
      <w:pPr>
        <w:spacing w:after="0"/>
        <w:rPr>
          <w:rFonts w:ascii="Times New Roman" w:hAnsi="Times New Roman" w:cs="Times New Roman"/>
        </w:rPr>
      </w:pPr>
      <w:r w:rsidRPr="004F39D2">
        <w:rPr>
          <w:rFonts w:ascii="Times New Roman" w:hAnsi="Times New Roman" w:cs="Times New Roman"/>
          <w:vertAlign w:val="superscript"/>
        </w:rPr>
        <w:t>3</w:t>
      </w:r>
      <w:r w:rsidRPr="004F39D2">
        <w:rPr>
          <w:rFonts w:ascii="Times New Roman" w:hAnsi="Times New Roman" w:cs="Times New Roman"/>
        </w:rPr>
        <w:t>Boston University Medical Center, USA</w:t>
      </w:r>
    </w:p>
    <w:p w:rsidR="004F39D2" w:rsidRPr="004F39D2" w:rsidRDefault="004F39D2" w:rsidP="004F39D2">
      <w:pPr>
        <w:spacing w:after="0"/>
        <w:rPr>
          <w:rFonts w:ascii="Times New Roman" w:hAnsi="Times New Roman" w:cs="Times New Roman"/>
        </w:rPr>
      </w:pPr>
      <w:r w:rsidRPr="004F39D2">
        <w:rPr>
          <w:rFonts w:ascii="Times New Roman" w:hAnsi="Times New Roman" w:cs="Times New Roman"/>
          <w:vertAlign w:val="superscript"/>
        </w:rPr>
        <w:t>4</w:t>
      </w:r>
      <w:r w:rsidRPr="004F39D2">
        <w:rPr>
          <w:rFonts w:ascii="Times New Roman" w:hAnsi="Times New Roman" w:cs="Times New Roman"/>
        </w:rPr>
        <w:t>Massachusetts General Hospital and Harvard Medical School, USA</w:t>
      </w:r>
    </w:p>
    <w:p w:rsidR="004F39D2" w:rsidRPr="004F39D2" w:rsidRDefault="004F39D2" w:rsidP="004F39D2">
      <w:pPr>
        <w:spacing w:after="0"/>
        <w:rPr>
          <w:rFonts w:ascii="Times New Roman" w:hAnsi="Times New Roman" w:cs="Times New Roman"/>
        </w:rPr>
      </w:pPr>
      <w:r w:rsidRPr="004F39D2">
        <w:rPr>
          <w:rFonts w:ascii="Times New Roman" w:hAnsi="Times New Roman" w:cs="Times New Roman"/>
          <w:vertAlign w:val="superscript"/>
        </w:rPr>
        <w:t>5</w:t>
      </w:r>
      <w:r w:rsidRPr="004F39D2">
        <w:rPr>
          <w:rFonts w:ascii="Times New Roman" w:hAnsi="Times New Roman" w:cs="Times New Roman"/>
        </w:rPr>
        <w:t>RWTH Aachen University, Germany</w:t>
      </w:r>
    </w:p>
    <w:p w:rsidR="004F39D2" w:rsidRDefault="004F39D2">
      <w:pPr>
        <w:rPr>
          <w:rFonts w:ascii="Times New Roman" w:hAnsi="Times New Roman" w:cs="Times New Roman"/>
        </w:rPr>
      </w:pPr>
      <w:r w:rsidRPr="004F39D2">
        <w:rPr>
          <w:rFonts w:ascii="Times New Roman" w:hAnsi="Times New Roman" w:cs="Times New Roman"/>
          <w:vertAlign w:val="superscript"/>
        </w:rPr>
        <w:t>6</w:t>
      </w:r>
      <w:r w:rsidRPr="004F39D2">
        <w:rPr>
          <w:rFonts w:ascii="Times New Roman" w:hAnsi="Times New Roman" w:cs="Times New Roman"/>
        </w:rPr>
        <w:t xml:space="preserve">Erasmus Medical Center, </w:t>
      </w:r>
      <w:proofErr w:type="gramStart"/>
      <w:r w:rsidRPr="004F39D2">
        <w:rPr>
          <w:rFonts w:ascii="Times New Roman" w:hAnsi="Times New Roman" w:cs="Times New Roman"/>
        </w:rPr>
        <w:t>The</w:t>
      </w:r>
      <w:proofErr w:type="gramEnd"/>
      <w:r w:rsidRPr="004F39D2">
        <w:rPr>
          <w:rFonts w:ascii="Times New Roman" w:hAnsi="Times New Roman" w:cs="Times New Roman"/>
        </w:rPr>
        <w:t xml:space="preserve"> Netherlands</w:t>
      </w:r>
    </w:p>
    <w:p w:rsidR="004F39D2" w:rsidRPr="004F39D2" w:rsidRDefault="004F39D2" w:rsidP="004F39D2">
      <w:pPr>
        <w:jc w:val="center"/>
        <w:rPr>
          <w:rFonts w:ascii="Times New Roman" w:hAnsi="Times New Roman" w:cs="Times New Roman"/>
          <w:b/>
          <w:sz w:val="24"/>
        </w:rPr>
      </w:pPr>
      <w:r w:rsidRPr="004F39D2">
        <w:rPr>
          <w:rFonts w:ascii="Times New Roman" w:hAnsi="Times New Roman" w:cs="Times New Roman"/>
          <w:b/>
          <w:sz w:val="24"/>
        </w:rPr>
        <w:t>Abstract</w:t>
      </w:r>
    </w:p>
    <w:p w:rsidR="004F39D2" w:rsidRPr="004F39D2" w:rsidRDefault="004F39D2" w:rsidP="004F39D2">
      <w:pPr>
        <w:jc w:val="both"/>
        <w:rPr>
          <w:rFonts w:ascii="Times New Roman" w:hAnsi="Times New Roman" w:cs="Times New Roman"/>
          <w:sz w:val="20"/>
        </w:rPr>
      </w:pPr>
      <w:r w:rsidRPr="004F39D2">
        <w:rPr>
          <w:rFonts w:ascii="Times New Roman" w:hAnsi="Times New Roman" w:cs="Times New Roman"/>
          <w:b/>
          <w:sz w:val="20"/>
        </w:rPr>
        <w:t xml:space="preserve">Background: </w:t>
      </w:r>
      <w:r w:rsidRPr="004F39D2">
        <w:rPr>
          <w:rFonts w:ascii="Times New Roman" w:hAnsi="Times New Roman" w:cs="Times New Roman"/>
          <w:sz w:val="20"/>
        </w:rPr>
        <w:t xml:space="preserve">Vascular calcification is a common comorbidity among patients with </w:t>
      </w:r>
      <w:r w:rsidRPr="004F39D2">
        <w:rPr>
          <w:rFonts w:ascii="Times New Roman" w:hAnsi="Times New Roman" w:cs="Times New Roman"/>
          <w:sz w:val="20"/>
        </w:rPr>
        <w:t xml:space="preserve">Chronic Kidney Disease </w:t>
      </w:r>
      <w:r w:rsidRPr="004F39D2">
        <w:rPr>
          <w:rFonts w:ascii="Times New Roman" w:hAnsi="Times New Roman" w:cs="Times New Roman"/>
          <w:sz w:val="20"/>
        </w:rPr>
        <w:t xml:space="preserve">(CKD) indicating major cardiovascular events. This study aimed to evaluate the effects and safety of intravenous </w:t>
      </w:r>
      <w:r w:rsidRPr="004F39D2">
        <w:rPr>
          <w:rFonts w:ascii="Times New Roman" w:hAnsi="Times New Roman" w:cs="Times New Roman"/>
          <w:sz w:val="20"/>
        </w:rPr>
        <w:t xml:space="preserve">Sodium </w:t>
      </w:r>
      <w:proofErr w:type="spellStart"/>
      <w:r w:rsidRPr="004F39D2">
        <w:rPr>
          <w:rFonts w:ascii="Times New Roman" w:hAnsi="Times New Roman" w:cs="Times New Roman"/>
          <w:sz w:val="20"/>
        </w:rPr>
        <w:t>Thio</w:t>
      </w:r>
      <w:proofErr w:type="spellEnd"/>
      <w:r>
        <w:rPr>
          <w:rFonts w:ascii="Times New Roman" w:hAnsi="Times New Roman" w:cs="Times New Roman"/>
          <w:sz w:val="20"/>
        </w:rPr>
        <w:t>-</w:t>
      </w:r>
      <w:r w:rsidRPr="004F39D2">
        <w:rPr>
          <w:rFonts w:ascii="Times New Roman" w:hAnsi="Times New Roman" w:cs="Times New Roman"/>
          <w:sz w:val="20"/>
        </w:rPr>
        <w:t xml:space="preserve">Sulphate </w:t>
      </w:r>
      <w:r w:rsidRPr="004F39D2">
        <w:rPr>
          <w:rFonts w:ascii="Times New Roman" w:hAnsi="Times New Roman" w:cs="Times New Roman"/>
          <w:sz w:val="20"/>
        </w:rPr>
        <w:t>(STS) for vascular calcification in CKD patients.</w:t>
      </w:r>
    </w:p>
    <w:p w:rsidR="004F39D2" w:rsidRPr="004F39D2" w:rsidRDefault="004F39D2" w:rsidP="004F39D2">
      <w:pPr>
        <w:jc w:val="both"/>
        <w:rPr>
          <w:rFonts w:ascii="Times New Roman" w:hAnsi="Times New Roman" w:cs="Times New Roman"/>
          <w:sz w:val="20"/>
        </w:rPr>
      </w:pPr>
      <w:r w:rsidRPr="004F39D2">
        <w:rPr>
          <w:rFonts w:ascii="Times New Roman" w:hAnsi="Times New Roman" w:cs="Times New Roman"/>
          <w:b/>
          <w:sz w:val="20"/>
        </w:rPr>
        <w:t>Methods:</w:t>
      </w:r>
      <w:r w:rsidRPr="004F39D2">
        <w:rPr>
          <w:rFonts w:ascii="Times New Roman" w:hAnsi="Times New Roman" w:cs="Times New Roman"/>
          <w:sz w:val="20"/>
        </w:rPr>
        <w:t xml:space="preserve"> Electronic databases were searched for clinical trials that provided data comparing outcomes among patients treated with and without STS. PRISMA guidelines were followed. Efficacy was assessed using calcification scores and arterial stiffness. Safety was examined by analyzing adverse symptoms, electrolytes, and </w:t>
      </w:r>
      <w:r w:rsidRPr="004F39D2">
        <w:rPr>
          <w:rFonts w:ascii="Times New Roman" w:hAnsi="Times New Roman" w:cs="Times New Roman"/>
          <w:sz w:val="20"/>
        </w:rPr>
        <w:t xml:space="preserve">Bone Mineral Density </w:t>
      </w:r>
      <w:r w:rsidRPr="004F39D2">
        <w:rPr>
          <w:rFonts w:ascii="Times New Roman" w:hAnsi="Times New Roman" w:cs="Times New Roman"/>
          <w:sz w:val="20"/>
        </w:rPr>
        <w:t>(BMD). Random-effects models were performed. Meta-regression and sensitivity analysis were done. The risk of bias was assessed using Cochrane tools.</w:t>
      </w:r>
    </w:p>
    <w:p w:rsidR="004F39D2" w:rsidRPr="004F39D2" w:rsidRDefault="004F39D2" w:rsidP="004F39D2">
      <w:pPr>
        <w:jc w:val="both"/>
        <w:rPr>
          <w:rFonts w:ascii="Times New Roman" w:hAnsi="Times New Roman" w:cs="Times New Roman"/>
          <w:sz w:val="20"/>
        </w:rPr>
      </w:pPr>
      <w:r w:rsidRPr="004F39D2">
        <w:rPr>
          <w:rFonts w:ascii="Times New Roman" w:hAnsi="Times New Roman" w:cs="Times New Roman"/>
          <w:b/>
          <w:sz w:val="20"/>
        </w:rPr>
        <w:t>Results:</w:t>
      </w:r>
      <w:r w:rsidRPr="004F39D2">
        <w:rPr>
          <w:rFonts w:ascii="Times New Roman" w:hAnsi="Times New Roman" w:cs="Times New Roman"/>
          <w:sz w:val="20"/>
        </w:rPr>
        <w:t xml:space="preserve"> Among the 5601 publications, 6 studies involving 305 participants (mean age: 56 years, male: 56.6%) with all participants on maintenance hemodialysis met eligibility criteria. For efficacy, the progression in </w:t>
      </w:r>
      <w:proofErr w:type="spellStart"/>
      <w:r w:rsidRPr="004F39D2">
        <w:rPr>
          <w:rFonts w:ascii="Times New Roman" w:hAnsi="Times New Roman" w:cs="Times New Roman"/>
          <w:sz w:val="20"/>
        </w:rPr>
        <w:t>Agatston</w:t>
      </w:r>
      <w:proofErr w:type="spellEnd"/>
      <w:r w:rsidRPr="004F39D2">
        <w:rPr>
          <w:rFonts w:ascii="Times New Roman" w:hAnsi="Times New Roman" w:cs="Times New Roman"/>
          <w:sz w:val="20"/>
        </w:rPr>
        <w:t xml:space="preserve"> scores in the coronary arteries (107 patients, </w:t>
      </w:r>
      <w:r w:rsidRPr="004F39D2">
        <w:rPr>
          <w:rFonts w:ascii="Times New Roman" w:hAnsi="Times New Roman" w:cs="Times New Roman"/>
          <w:sz w:val="20"/>
        </w:rPr>
        <w:t xml:space="preserve">Mean Difference </w:t>
      </w:r>
      <w:r w:rsidR="001654EC">
        <w:rPr>
          <w:rFonts w:ascii="Times New Roman" w:hAnsi="Times New Roman" w:cs="Times New Roman"/>
          <w:sz w:val="20"/>
        </w:rPr>
        <w:t>(MD): -241.27</w:t>
      </w:r>
      <w:proofErr w:type="gramStart"/>
      <w:r w:rsidR="001654EC">
        <w:rPr>
          <w:rFonts w:ascii="Times New Roman" w:hAnsi="Times New Roman" w:cs="Times New Roman"/>
          <w:sz w:val="20"/>
        </w:rPr>
        <w:t>,</w:t>
      </w:r>
      <w:r w:rsidRPr="004F39D2">
        <w:rPr>
          <w:rFonts w:ascii="Times New Roman" w:hAnsi="Times New Roman" w:cs="Times New Roman"/>
          <w:sz w:val="20"/>
        </w:rPr>
        <w:t>95</w:t>
      </w:r>
      <w:proofErr w:type="gramEnd"/>
      <w:r w:rsidRPr="004F39D2">
        <w:rPr>
          <w:rFonts w:ascii="Times New Roman" w:hAnsi="Times New Roman" w:cs="Times New Roman"/>
          <w:sz w:val="20"/>
        </w:rPr>
        <w:t>%</w:t>
      </w:r>
      <w:r w:rsidR="001654EC">
        <w:rPr>
          <w:rFonts w:ascii="Times New Roman" w:hAnsi="Times New Roman" w:cs="Times New Roman"/>
          <w:sz w:val="20"/>
        </w:rPr>
        <w:t xml:space="preserve"> CIs:-421.50,</w:t>
      </w:r>
      <w:r w:rsidRPr="004F39D2">
        <w:rPr>
          <w:rFonts w:ascii="Times New Roman" w:hAnsi="Times New Roman" w:cs="Times New Roman"/>
          <w:sz w:val="20"/>
        </w:rPr>
        <w:t>-61.03) and i</w:t>
      </w:r>
      <w:r w:rsidR="001654EC">
        <w:rPr>
          <w:rFonts w:ascii="Times New Roman" w:hAnsi="Times New Roman" w:cs="Times New Roman"/>
          <w:sz w:val="20"/>
        </w:rPr>
        <w:t>liac arteries (55 patients, MD:-382.00,95% CIs:-751.07,</w:t>
      </w:r>
      <w:r w:rsidRPr="004F39D2">
        <w:rPr>
          <w:rFonts w:ascii="Times New Roman" w:hAnsi="Times New Roman" w:cs="Times New Roman"/>
          <w:sz w:val="20"/>
        </w:rPr>
        <w:t>-12.93) was lower in the STS treated group compared with controls. The increase in pulse wave velocity was lower in the STS group (104 patient</w:t>
      </w:r>
      <w:r w:rsidR="001654EC">
        <w:rPr>
          <w:rFonts w:ascii="Times New Roman" w:hAnsi="Times New Roman" w:cs="Times New Roman"/>
          <w:sz w:val="20"/>
        </w:rPr>
        <w:t>s, MD:-1.29 m/s</w:t>
      </w:r>
      <w:proofErr w:type="gramStart"/>
      <w:r w:rsidR="001654EC">
        <w:rPr>
          <w:rFonts w:ascii="Times New Roman" w:hAnsi="Times New Roman" w:cs="Times New Roman"/>
          <w:sz w:val="20"/>
        </w:rPr>
        <w:t>,95</w:t>
      </w:r>
      <w:proofErr w:type="gramEnd"/>
      <w:r w:rsidR="001654EC">
        <w:rPr>
          <w:rFonts w:ascii="Times New Roman" w:hAnsi="Times New Roman" w:cs="Times New Roman"/>
          <w:sz w:val="20"/>
        </w:rPr>
        <w:t>% CIs:-2.24 m/s,</w:t>
      </w:r>
      <w:r w:rsidRPr="004F39D2">
        <w:rPr>
          <w:rFonts w:ascii="Times New Roman" w:hAnsi="Times New Roman" w:cs="Times New Roman"/>
          <w:sz w:val="20"/>
        </w:rPr>
        <w:t>-0.34 m/s). No association was found between the change in calcification scores and STS regimen. For safety, gastrointestinal symptoms (e.g. nausea) and increased anion gap acidosis were noted. No reduction in BMD by STS was observed</w:t>
      </w:r>
      <w:r w:rsidR="00A50244">
        <w:rPr>
          <w:rFonts w:ascii="Times New Roman" w:hAnsi="Times New Roman" w:cs="Times New Roman"/>
          <w:sz w:val="20"/>
        </w:rPr>
        <w:t xml:space="preserve"> [Figure 1]</w:t>
      </w:r>
      <w:r w:rsidRPr="004F39D2">
        <w:rPr>
          <w:rFonts w:ascii="Times New Roman" w:hAnsi="Times New Roman" w:cs="Times New Roman"/>
          <w:sz w:val="20"/>
        </w:rPr>
        <w:t xml:space="preserve">. </w:t>
      </w:r>
    </w:p>
    <w:p w:rsidR="004F39D2" w:rsidRDefault="004F39D2" w:rsidP="004F39D2">
      <w:pPr>
        <w:jc w:val="both"/>
        <w:rPr>
          <w:rFonts w:ascii="Times New Roman" w:hAnsi="Times New Roman" w:cs="Times New Roman"/>
          <w:sz w:val="20"/>
        </w:rPr>
      </w:pPr>
      <w:r w:rsidRPr="004F39D2">
        <w:rPr>
          <w:rFonts w:ascii="Times New Roman" w:hAnsi="Times New Roman" w:cs="Times New Roman"/>
          <w:b/>
          <w:sz w:val="20"/>
        </w:rPr>
        <w:t>Conclusion:</w:t>
      </w:r>
      <w:r w:rsidRPr="004F39D2">
        <w:rPr>
          <w:rFonts w:ascii="Times New Roman" w:hAnsi="Times New Roman" w:cs="Times New Roman"/>
          <w:sz w:val="20"/>
        </w:rPr>
        <w:t xml:space="preserve"> Intravenous STS may attenuate the progression of vascular calcification and arterial stiffness in hemodialysis patients. Large and well-designed randomized controlled trials are warranted.</w:t>
      </w:r>
    </w:p>
    <w:p w:rsidR="004F39D2" w:rsidRDefault="004F39D2" w:rsidP="004F39D2">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5FD603FB">
            <wp:extent cx="3406940" cy="1411834"/>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413760" cy="1414660"/>
                    </a:xfrm>
                    <a:prstGeom prst="rect">
                      <a:avLst/>
                    </a:prstGeom>
                    <a:noFill/>
                  </pic:spPr>
                </pic:pic>
              </a:graphicData>
            </a:graphic>
          </wp:inline>
        </w:drawing>
      </w:r>
    </w:p>
    <w:p w:rsidR="004F39D2" w:rsidRPr="00A50244" w:rsidRDefault="004F39D2" w:rsidP="004F39D2">
      <w:pPr>
        <w:jc w:val="center"/>
        <w:rPr>
          <w:rFonts w:ascii="Times New Roman" w:hAnsi="Times New Roman" w:cs="Times New Roman"/>
          <w:i/>
          <w:sz w:val="18"/>
        </w:rPr>
      </w:pPr>
      <w:proofErr w:type="gramStart"/>
      <w:r w:rsidRPr="001654EC">
        <w:rPr>
          <w:rFonts w:ascii="Times New Roman" w:hAnsi="Times New Roman" w:cs="Times New Roman"/>
          <w:b/>
          <w:i/>
          <w:sz w:val="18"/>
        </w:rPr>
        <w:t>Figure 1.</w:t>
      </w:r>
      <w:proofErr w:type="gramEnd"/>
      <w:r w:rsidR="00A50244" w:rsidRPr="00A50244">
        <w:t xml:space="preserve"> </w:t>
      </w:r>
      <w:proofErr w:type="gramStart"/>
      <w:r w:rsidR="00A50244" w:rsidRPr="00A50244">
        <w:rPr>
          <w:rFonts w:ascii="Times New Roman" w:hAnsi="Times New Roman" w:cs="Times New Roman"/>
          <w:i/>
          <w:sz w:val="18"/>
        </w:rPr>
        <w:t>Flow chart of study inclusion.</w:t>
      </w:r>
      <w:proofErr w:type="gramEnd"/>
    </w:p>
    <w:p w:rsidR="004F39D2" w:rsidRPr="004F39D2" w:rsidRDefault="004F39D2" w:rsidP="004F39D2">
      <w:pPr>
        <w:rPr>
          <w:rFonts w:ascii="Times New Roman" w:hAnsi="Times New Roman" w:cs="Times New Roman"/>
          <w:b/>
          <w:sz w:val="24"/>
        </w:rPr>
      </w:pPr>
      <w:r w:rsidRPr="004F39D2">
        <w:rPr>
          <w:rFonts w:ascii="Times New Roman" w:hAnsi="Times New Roman" w:cs="Times New Roman"/>
          <w:b/>
          <w:sz w:val="24"/>
        </w:rPr>
        <w:lastRenderedPageBreak/>
        <w:t>Biography</w:t>
      </w:r>
    </w:p>
    <w:p w:rsidR="004F39D2" w:rsidRPr="004F39D2" w:rsidRDefault="004F39D2" w:rsidP="001654EC">
      <w:pPr>
        <w:jc w:val="both"/>
        <w:rPr>
          <w:rFonts w:ascii="Times New Roman" w:hAnsi="Times New Roman" w:cs="Times New Roman"/>
          <w:sz w:val="24"/>
        </w:rPr>
      </w:pPr>
      <w:r w:rsidRPr="004F39D2">
        <w:rPr>
          <w:rFonts w:ascii="Times New Roman" w:hAnsi="Times New Roman" w:cs="Times New Roman"/>
          <w:sz w:val="20"/>
        </w:rPr>
        <w:t xml:space="preserve">Wen </w:t>
      </w:r>
      <w:proofErr w:type="spellStart"/>
      <w:r w:rsidRPr="004F39D2">
        <w:rPr>
          <w:rFonts w:ascii="Times New Roman" w:hAnsi="Times New Roman" w:cs="Times New Roman"/>
          <w:sz w:val="20"/>
        </w:rPr>
        <w:t>Wen</w:t>
      </w:r>
      <w:proofErr w:type="spellEnd"/>
      <w:r w:rsidRPr="004F39D2">
        <w:rPr>
          <w:rFonts w:ascii="Times New Roman" w:hAnsi="Times New Roman" w:cs="Times New Roman"/>
          <w:sz w:val="20"/>
        </w:rPr>
        <w:t xml:space="preserve"> is a nephrologist in China. She received her medical and clinical training in Peking University Health Science Center, and finished a master degree of medical science in clinical investigation in Harvard Medical School. Her research currently mainly focuses on treatment of CKD-MBD, specifically about vascular calcification and </w:t>
      </w:r>
      <w:proofErr w:type="spellStart"/>
      <w:r w:rsidRPr="004F39D2">
        <w:rPr>
          <w:rFonts w:ascii="Times New Roman" w:hAnsi="Times New Roman" w:cs="Times New Roman"/>
          <w:sz w:val="20"/>
        </w:rPr>
        <w:t>calciphylaxis</w:t>
      </w:r>
      <w:proofErr w:type="spellEnd"/>
      <w:r w:rsidRPr="004F39D2">
        <w:rPr>
          <w:rFonts w:ascii="Times New Roman" w:hAnsi="Times New Roman" w:cs="Times New Roman"/>
          <w:sz w:val="20"/>
        </w:rPr>
        <w:t xml:space="preserve">. She also has special interest on risk factor identification and follow-up of patients with </w:t>
      </w:r>
      <w:proofErr w:type="spellStart"/>
      <w:r w:rsidRPr="004F39D2">
        <w:rPr>
          <w:rFonts w:ascii="Times New Roman" w:hAnsi="Times New Roman" w:cs="Times New Roman"/>
          <w:sz w:val="20"/>
        </w:rPr>
        <w:t>urolithiasis</w:t>
      </w:r>
      <w:proofErr w:type="spellEnd"/>
      <w:r w:rsidRPr="004F39D2">
        <w:rPr>
          <w:rFonts w:ascii="Times New Roman" w:hAnsi="Times New Roman" w:cs="Times New Roman"/>
          <w:sz w:val="20"/>
        </w:rPr>
        <w:t>.</w:t>
      </w:r>
      <w:bookmarkEnd w:id="0"/>
    </w:p>
    <w:sectPr w:rsidR="004F39D2" w:rsidRPr="004F39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39D2"/>
    <w:rsid w:val="001654EC"/>
    <w:rsid w:val="00474203"/>
    <w:rsid w:val="004F39D2"/>
    <w:rsid w:val="00535872"/>
    <w:rsid w:val="00924B33"/>
    <w:rsid w:val="00A502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F39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39D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F39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39D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437</Words>
  <Characters>2494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2022-10-20T08:52:00Z</dcterms:created>
  <dcterms:modified xsi:type="dcterms:W3CDTF">2022-10-20T09:06:00Z</dcterms:modified>
</cp:coreProperties>
</file>