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D93B11" w:rsidRDefault="00BC32B3">
      <w:pPr>
        <w:rPr>
          <w:rFonts w:ascii="Times New Roman" w:hAnsi="Times New Roman" w:cs="Times New Roman"/>
          <w:b/>
          <w:sz w:val="32"/>
        </w:rPr>
      </w:pPr>
      <w:r w:rsidRPr="00D93B11">
        <w:rPr>
          <w:rFonts w:ascii="Times New Roman" w:hAnsi="Times New Roman" w:cs="Times New Roman"/>
          <w:b/>
          <w:sz w:val="32"/>
        </w:rPr>
        <w:t>Social equity in the data era: A systematic literature review of data-driven public service provision research</w:t>
      </w:r>
    </w:p>
    <w:p w:rsidR="00BC32B3" w:rsidRPr="00D93B11" w:rsidRDefault="00BC32B3">
      <w:pPr>
        <w:rPr>
          <w:rFonts w:ascii="Times New Roman" w:hAnsi="Times New Roman" w:cs="Times New Roman"/>
          <w:sz w:val="24"/>
        </w:rPr>
      </w:pPr>
      <w:r w:rsidRPr="00D93B11">
        <w:rPr>
          <w:rFonts w:ascii="Times New Roman" w:hAnsi="Times New Roman" w:cs="Times New Roman"/>
          <w:sz w:val="24"/>
        </w:rPr>
        <w:t>Rebecca Porter</w:t>
      </w:r>
    </w:p>
    <w:p w:rsidR="00BC32B3" w:rsidRPr="00D93B11" w:rsidRDefault="00BC32B3">
      <w:pPr>
        <w:rPr>
          <w:rFonts w:ascii="Times New Roman" w:hAnsi="Times New Roman" w:cs="Times New Roman"/>
        </w:rPr>
      </w:pPr>
      <w:r w:rsidRPr="00D93B11">
        <w:rPr>
          <w:rFonts w:ascii="Times New Roman" w:hAnsi="Times New Roman" w:cs="Times New Roman"/>
        </w:rPr>
        <w:t>Rutgers University Newark, United States</w:t>
      </w:r>
    </w:p>
    <w:p w:rsidR="00BC32B3" w:rsidRPr="00D93B11" w:rsidRDefault="00BC32B3" w:rsidP="00BC32B3">
      <w:pPr>
        <w:jc w:val="center"/>
        <w:rPr>
          <w:rFonts w:ascii="Times New Roman" w:hAnsi="Times New Roman" w:cs="Times New Roman"/>
          <w:b/>
          <w:sz w:val="24"/>
        </w:rPr>
      </w:pPr>
      <w:r w:rsidRPr="00D93B11">
        <w:rPr>
          <w:rFonts w:ascii="Times New Roman" w:hAnsi="Times New Roman" w:cs="Times New Roman"/>
          <w:b/>
          <w:sz w:val="24"/>
        </w:rPr>
        <w:t>Abstract</w:t>
      </w:r>
    </w:p>
    <w:p w:rsidR="00BC32B3" w:rsidRPr="00D93B11" w:rsidRDefault="00BC32B3" w:rsidP="00BC32B3">
      <w:pPr>
        <w:jc w:val="both"/>
        <w:rPr>
          <w:rFonts w:ascii="Times New Roman" w:hAnsi="Times New Roman" w:cs="Times New Roman"/>
          <w:sz w:val="20"/>
        </w:rPr>
      </w:pPr>
      <w:r w:rsidRPr="00D93B11">
        <w:rPr>
          <w:rFonts w:ascii="Times New Roman" w:hAnsi="Times New Roman" w:cs="Times New Roman"/>
          <w:sz w:val="20"/>
        </w:rPr>
        <w:t xml:space="preserve">Governments increasingly rely </w:t>
      </w:r>
      <w:bookmarkStart w:id="0" w:name="_GoBack"/>
      <w:bookmarkEnd w:id="0"/>
      <w:r w:rsidRPr="00D93B11">
        <w:rPr>
          <w:rFonts w:ascii="Times New Roman" w:hAnsi="Times New Roman" w:cs="Times New Roman"/>
          <w:sz w:val="20"/>
        </w:rPr>
        <w:t>on large amounts of data to deliver public services. In response, there is a robust discussion about the implications of this trend for efficiency and economy, but much less attention is paid to social equity. To address this issue, our study synthesizes cross-disciplinary research on the relationship between data-driven public services and social equity. Based on a systematic literature review of 190 articles covering a decade of research, we demonstrate how public sector data applications relate to social equity in terms of access to services, treatment, service quality and outcomes. Our review identifies key mechanisms related to data collection, storage, analysis and usage that need to be addressed to ensure more equitable data-driven public services. This review contributes to public administration research and practice by highlighting the complexities of social equity in the digital age.</w:t>
      </w:r>
    </w:p>
    <w:p w:rsidR="00BC32B3" w:rsidRPr="00D93B11" w:rsidRDefault="00BC32B3" w:rsidP="00BC32B3">
      <w:pPr>
        <w:rPr>
          <w:rFonts w:ascii="Times New Roman" w:hAnsi="Times New Roman" w:cs="Times New Roman"/>
          <w:b/>
          <w:sz w:val="24"/>
        </w:rPr>
      </w:pPr>
      <w:r w:rsidRPr="00D93B11">
        <w:rPr>
          <w:rFonts w:ascii="Times New Roman" w:hAnsi="Times New Roman" w:cs="Times New Roman"/>
          <w:b/>
          <w:sz w:val="24"/>
        </w:rPr>
        <w:t>Biography</w:t>
      </w:r>
    </w:p>
    <w:p w:rsidR="00BC32B3" w:rsidRPr="00D93B11" w:rsidRDefault="00BC32B3" w:rsidP="00BC32B3">
      <w:pPr>
        <w:jc w:val="both"/>
        <w:rPr>
          <w:rFonts w:ascii="Times New Roman" w:hAnsi="Times New Roman" w:cs="Times New Roman"/>
          <w:sz w:val="20"/>
        </w:rPr>
      </w:pPr>
      <w:r w:rsidRPr="00D93B11">
        <w:rPr>
          <w:rFonts w:ascii="Times New Roman" w:hAnsi="Times New Roman" w:cs="Times New Roman"/>
          <w:sz w:val="20"/>
        </w:rPr>
        <w:t xml:space="preserve">Rebecca Porter recently completed a </w:t>
      </w:r>
      <w:proofErr w:type="spellStart"/>
      <w:r w:rsidRPr="00D93B11">
        <w:rPr>
          <w:rFonts w:ascii="Times New Roman" w:hAnsi="Times New Roman" w:cs="Times New Roman"/>
          <w:sz w:val="20"/>
        </w:rPr>
        <w:t>judical</w:t>
      </w:r>
      <w:proofErr w:type="spellEnd"/>
      <w:r w:rsidRPr="00D93B11">
        <w:rPr>
          <w:rFonts w:ascii="Times New Roman" w:hAnsi="Times New Roman" w:cs="Times New Roman"/>
          <w:sz w:val="20"/>
        </w:rPr>
        <w:t xml:space="preserve"> clerkship for the Presiding Judge of the Appellate Division in New Jersey and currently works as a Litigation Attorney at Epstein Becker &amp; Green, P.C. </w:t>
      </w:r>
      <w:r w:rsidRPr="00D93B11">
        <w:rPr>
          <w:rFonts w:ascii="Times New Roman" w:hAnsi="Times New Roman" w:cs="Times New Roman"/>
          <w:sz w:val="20"/>
        </w:rPr>
        <w:t>She</w:t>
      </w:r>
      <w:r w:rsidRPr="00D93B11">
        <w:rPr>
          <w:rFonts w:ascii="Times New Roman" w:hAnsi="Times New Roman" w:cs="Times New Roman"/>
          <w:sz w:val="20"/>
        </w:rPr>
        <w:t xml:space="preserve"> previously served as a </w:t>
      </w:r>
      <w:r w:rsidR="00D93B11" w:rsidRPr="00D93B11">
        <w:rPr>
          <w:rFonts w:ascii="Times New Roman" w:hAnsi="Times New Roman" w:cs="Times New Roman"/>
          <w:sz w:val="20"/>
        </w:rPr>
        <w:t>Transparency</w:t>
      </w:r>
      <w:r w:rsidRPr="00D93B11">
        <w:rPr>
          <w:rFonts w:ascii="Times New Roman" w:hAnsi="Times New Roman" w:cs="Times New Roman"/>
          <w:sz w:val="20"/>
        </w:rPr>
        <w:t xml:space="preserve"> and Governance Fellow in the School of Public Affairs and Administration at Rutgers University-Newark where her </w:t>
      </w:r>
      <w:r w:rsidRPr="00D93B11">
        <w:rPr>
          <w:rFonts w:ascii="Times New Roman" w:hAnsi="Times New Roman" w:cs="Times New Roman"/>
          <w:sz w:val="20"/>
        </w:rPr>
        <w:t>research</w:t>
      </w:r>
      <w:r w:rsidRPr="00D93B11">
        <w:rPr>
          <w:rFonts w:ascii="Times New Roman" w:hAnsi="Times New Roman" w:cs="Times New Roman"/>
          <w:sz w:val="20"/>
        </w:rPr>
        <w:t xml:space="preserve"> examined the increasing developments between</w:t>
      </w:r>
      <w:r w:rsidRPr="00D93B11">
        <w:rPr>
          <w:rFonts w:ascii="Times New Roman" w:hAnsi="Times New Roman" w:cs="Times New Roman"/>
          <w:sz w:val="20"/>
        </w:rPr>
        <w:t xml:space="preserve"> </w:t>
      </w:r>
      <w:proofErr w:type="spellStart"/>
      <w:r w:rsidRPr="00D93B11">
        <w:rPr>
          <w:rFonts w:ascii="Times New Roman" w:hAnsi="Times New Roman" w:cs="Times New Roman"/>
          <w:sz w:val="20"/>
        </w:rPr>
        <w:t>datification</w:t>
      </w:r>
      <w:proofErr w:type="spellEnd"/>
      <w:r w:rsidRPr="00D93B11">
        <w:rPr>
          <w:rFonts w:ascii="Times New Roman" w:hAnsi="Times New Roman" w:cs="Times New Roman"/>
          <w:sz w:val="20"/>
        </w:rPr>
        <w:t xml:space="preserve"> and social equity</w:t>
      </w:r>
      <w:r w:rsidRPr="00D93B11">
        <w:rPr>
          <w:rFonts w:ascii="Times New Roman" w:hAnsi="Times New Roman" w:cs="Times New Roman"/>
          <w:sz w:val="20"/>
        </w:rPr>
        <w:t xml:space="preserve"> and the legal implications that impacted such relationships.</w:t>
      </w:r>
    </w:p>
    <w:sectPr w:rsidR="00BC32B3" w:rsidRPr="00D93B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2B3"/>
    <w:rsid w:val="0011385D"/>
    <w:rsid w:val="00474203"/>
    <w:rsid w:val="00535872"/>
    <w:rsid w:val="0070009D"/>
    <w:rsid w:val="00924B33"/>
    <w:rsid w:val="00B9555C"/>
    <w:rsid w:val="00BC32B3"/>
    <w:rsid w:val="00D93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2022-12-20T07:18:00Z</dcterms:created>
  <dcterms:modified xsi:type="dcterms:W3CDTF">2022-12-20T08:18:00Z</dcterms:modified>
</cp:coreProperties>
</file>