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6F0" w:rsidRPr="00AB08D4" w:rsidRDefault="00687C35" w:rsidP="00AB08D4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AB08D4">
        <w:rPr>
          <w:rFonts w:ascii="Times New Roman" w:hAnsi="Times New Roman" w:cs="Times New Roman"/>
          <w:b/>
          <w:sz w:val="32"/>
          <w:szCs w:val="24"/>
        </w:rPr>
        <w:t xml:space="preserve">Efficiency of phenotypic and genotypic tests for detection of </w:t>
      </w:r>
      <w:r w:rsidR="00AB08D4" w:rsidRPr="00AB08D4">
        <w:rPr>
          <w:rFonts w:ascii="Times New Roman" w:hAnsi="Times New Roman" w:cs="Times New Roman"/>
          <w:b/>
          <w:sz w:val="32"/>
          <w:szCs w:val="24"/>
        </w:rPr>
        <w:t>extended</w:t>
      </w:r>
      <w:r w:rsidRPr="00AB08D4">
        <w:rPr>
          <w:rFonts w:ascii="Times New Roman" w:hAnsi="Times New Roman" w:cs="Times New Roman"/>
          <w:b/>
          <w:sz w:val="32"/>
          <w:szCs w:val="24"/>
        </w:rPr>
        <w:t>-spectrum-β-lactamase producing clinical isolates in Lahore, Pakistan</w:t>
      </w:r>
    </w:p>
    <w:p w:rsidR="00687C35" w:rsidRPr="00AB08D4" w:rsidRDefault="00687C35" w:rsidP="00AB08D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B08D4">
        <w:rPr>
          <w:rFonts w:ascii="Times New Roman" w:hAnsi="Times New Roman" w:cs="Times New Roman"/>
          <w:sz w:val="24"/>
          <w:szCs w:val="24"/>
        </w:rPr>
        <w:t>Samyyia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Abrar</w:t>
      </w:r>
      <w:proofErr w:type="spellEnd"/>
      <w:r w:rsidRPr="00AB08D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B08D4">
        <w:rPr>
          <w:rFonts w:ascii="Times New Roman" w:hAnsi="Times New Roman" w:cs="Times New Roman"/>
          <w:sz w:val="24"/>
          <w:szCs w:val="24"/>
        </w:rPr>
        <w:t>, Noor-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 xml:space="preserve">-ain </w:t>
      </w:r>
      <w:r w:rsidR="00AB08D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Saba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Riaz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C35" w:rsidRPr="00AB08D4" w:rsidRDefault="00AB08D4" w:rsidP="00AB08D4">
      <w:pPr>
        <w:rPr>
          <w:rFonts w:ascii="Times New Roman" w:eastAsia="Times New Roman" w:hAnsi="Times New Roman" w:cs="Times New Roman"/>
          <w:bCs/>
          <w:szCs w:val="24"/>
        </w:rPr>
      </w:pPr>
      <w:r w:rsidRPr="00AB08D4">
        <w:rPr>
          <w:rFonts w:ascii="Times New Roman" w:eastAsia="Times New Roman" w:hAnsi="Times New Roman" w:cs="Times New Roman"/>
          <w:bCs/>
          <w:szCs w:val="24"/>
        </w:rPr>
        <w:t>The Superior University</w:t>
      </w:r>
      <w:r w:rsidR="00687C35" w:rsidRPr="00AB08D4">
        <w:rPr>
          <w:rFonts w:ascii="Times New Roman" w:eastAsia="Times New Roman" w:hAnsi="Times New Roman" w:cs="Times New Roman"/>
          <w:bCs/>
          <w:szCs w:val="24"/>
        </w:rPr>
        <w:t>, Pakistan</w:t>
      </w:r>
    </w:p>
    <w:p w:rsidR="00687C35" w:rsidRPr="00AB08D4" w:rsidRDefault="00687C35" w:rsidP="00AB08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08D4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687C35" w:rsidRPr="00AB08D4" w:rsidRDefault="00687C35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 w:rsidRPr="00AB08D4">
        <w:rPr>
          <w:rFonts w:ascii="Times New Roman" w:hAnsi="Times New Roman" w:cs="Times New Roman"/>
          <w:b/>
          <w:sz w:val="20"/>
          <w:szCs w:val="24"/>
        </w:rPr>
        <w:t>Statement of the Problem</w:t>
      </w:r>
      <w:r w:rsidRPr="00AB08D4">
        <w:rPr>
          <w:rFonts w:ascii="Times New Roman" w:hAnsi="Times New Roman" w:cs="Times New Roman"/>
          <w:sz w:val="20"/>
          <w:szCs w:val="24"/>
        </w:rPr>
        <w:t xml:space="preserve">: Detection of ESBL-producers is important for epidemiological purposes as well as to limit the spread of resistance mechanisms. We have evaluated the ESBL-detection efficiency of phenotypic and genotypic tests against whole genome sequenced clinical isolates. </w:t>
      </w:r>
    </w:p>
    <w:p w:rsidR="00687C35" w:rsidRPr="00AB08D4" w:rsidRDefault="00687C35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 w:rsidRPr="00AB08D4">
        <w:rPr>
          <w:rFonts w:ascii="Times New Roman" w:hAnsi="Times New Roman" w:cs="Times New Roman"/>
          <w:b/>
          <w:sz w:val="20"/>
          <w:szCs w:val="24"/>
        </w:rPr>
        <w:t>Objective</w:t>
      </w:r>
      <w:r w:rsidRPr="00AB08D4">
        <w:rPr>
          <w:rFonts w:ascii="Times New Roman" w:hAnsi="Times New Roman" w:cs="Times New Roman"/>
          <w:sz w:val="20"/>
          <w:szCs w:val="24"/>
        </w:rPr>
        <w:t>: This study was conducted in three tertiary care hospitals and one diagnostic center of Lahore, Pakistan from July, 2014 to Feb, 2017.</w:t>
      </w:r>
    </w:p>
    <w:p w:rsidR="00687C35" w:rsidRPr="00AB08D4" w:rsidRDefault="00687C35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 w:rsidRPr="00AB08D4">
        <w:rPr>
          <w:rFonts w:ascii="Times New Roman" w:hAnsi="Times New Roman" w:cs="Times New Roman"/>
          <w:b/>
          <w:sz w:val="20"/>
          <w:szCs w:val="24"/>
        </w:rPr>
        <w:t>Methodology &amp; Theoretical Orientation</w:t>
      </w:r>
      <w:r w:rsidRPr="00AB08D4">
        <w:rPr>
          <w:rFonts w:ascii="Times New Roman" w:hAnsi="Times New Roman" w:cs="Times New Roman"/>
          <w:sz w:val="20"/>
          <w:szCs w:val="24"/>
        </w:rPr>
        <w:t>: Isolated strains were subsequently run with API-20E identification system. Furthermore, AST testing with Kirby-</w:t>
      </w:r>
      <w:proofErr w:type="spellStart"/>
      <w:r w:rsidRPr="00AB08D4">
        <w:rPr>
          <w:rFonts w:ascii="Times New Roman" w:hAnsi="Times New Roman" w:cs="Times New Roman"/>
          <w:sz w:val="20"/>
          <w:szCs w:val="24"/>
        </w:rPr>
        <w:t>Baur</w:t>
      </w:r>
      <w:proofErr w:type="spellEnd"/>
      <w:r w:rsidRPr="00AB08D4">
        <w:rPr>
          <w:rFonts w:ascii="Times New Roman" w:hAnsi="Times New Roman" w:cs="Times New Roman"/>
          <w:sz w:val="20"/>
          <w:szCs w:val="24"/>
        </w:rPr>
        <w:t xml:space="preserve"> disc-diffusion assay was performed with antibiotics recommended by Clinical Laboratory Standard Institute. 230-</w:t>
      </w:r>
      <w:r w:rsidR="00CD1D07" w:rsidRPr="00AB08D4">
        <w:rPr>
          <w:rFonts w:ascii="Times New Roman" w:hAnsi="Times New Roman" w:cs="Times New Roman"/>
          <w:sz w:val="20"/>
          <w:szCs w:val="24"/>
        </w:rPr>
        <w:t xml:space="preserve">Third Generation Cephalosporin Resistant </w:t>
      </w:r>
      <w:r w:rsidRPr="00AB08D4">
        <w:rPr>
          <w:rFonts w:ascii="Times New Roman" w:hAnsi="Times New Roman" w:cs="Times New Roman"/>
          <w:sz w:val="20"/>
          <w:szCs w:val="24"/>
        </w:rPr>
        <w:t xml:space="preserve">(3GC-R) isolates were subjected to whole genome sequencing and subsequent </w:t>
      </w:r>
      <w:r w:rsidRPr="00CD1D07">
        <w:rPr>
          <w:rFonts w:ascii="Times New Roman" w:hAnsi="Times New Roman" w:cs="Times New Roman"/>
          <w:i/>
          <w:sz w:val="20"/>
          <w:szCs w:val="24"/>
        </w:rPr>
        <w:t>in-silico</w:t>
      </w:r>
      <w:r w:rsidRPr="00AB08D4">
        <w:rPr>
          <w:rFonts w:ascii="Times New Roman" w:hAnsi="Times New Roman" w:cs="Times New Roman"/>
          <w:sz w:val="20"/>
          <w:szCs w:val="24"/>
        </w:rPr>
        <w:t xml:space="preserve"> analysis. ESBL-producing isolates detected by WGS were then screened with </w:t>
      </w:r>
      <w:r w:rsidR="00CD1D07" w:rsidRPr="00AB08D4">
        <w:rPr>
          <w:rFonts w:ascii="Times New Roman" w:hAnsi="Times New Roman" w:cs="Times New Roman"/>
          <w:sz w:val="20"/>
          <w:szCs w:val="24"/>
        </w:rPr>
        <w:t xml:space="preserve">Double Disc Synergism Test </w:t>
      </w:r>
      <w:r w:rsidRPr="00AB08D4">
        <w:rPr>
          <w:rFonts w:ascii="Times New Roman" w:hAnsi="Times New Roman" w:cs="Times New Roman"/>
          <w:sz w:val="20"/>
          <w:szCs w:val="24"/>
        </w:rPr>
        <w:t xml:space="preserve">(DDST), </w:t>
      </w:r>
      <w:r w:rsidR="00CD1D07" w:rsidRPr="00AB08D4">
        <w:rPr>
          <w:rFonts w:ascii="Times New Roman" w:hAnsi="Times New Roman" w:cs="Times New Roman"/>
          <w:sz w:val="20"/>
          <w:szCs w:val="24"/>
        </w:rPr>
        <w:t xml:space="preserve">Combination Disc Test </w:t>
      </w:r>
      <w:r w:rsidRPr="00AB08D4">
        <w:rPr>
          <w:rFonts w:ascii="Times New Roman" w:hAnsi="Times New Roman" w:cs="Times New Roman"/>
          <w:sz w:val="20"/>
          <w:szCs w:val="24"/>
        </w:rPr>
        <w:t xml:space="preserve">(CDST) and </w:t>
      </w:r>
      <w:proofErr w:type="spellStart"/>
      <w:r w:rsidR="00CD1D07" w:rsidRPr="00AB08D4">
        <w:rPr>
          <w:rFonts w:ascii="Times New Roman" w:hAnsi="Times New Roman" w:cs="Times New Roman"/>
          <w:sz w:val="20"/>
          <w:szCs w:val="24"/>
        </w:rPr>
        <w:t>Epsilometric</w:t>
      </w:r>
      <w:proofErr w:type="spellEnd"/>
      <w:r w:rsidR="00CD1D07" w:rsidRPr="00AB08D4">
        <w:rPr>
          <w:rFonts w:ascii="Times New Roman" w:hAnsi="Times New Roman" w:cs="Times New Roman"/>
          <w:sz w:val="20"/>
          <w:szCs w:val="24"/>
        </w:rPr>
        <w:t xml:space="preserve"> Test </w:t>
      </w:r>
      <w:r w:rsidRPr="00AB08D4">
        <w:rPr>
          <w:rFonts w:ascii="Times New Roman" w:hAnsi="Times New Roman" w:cs="Times New Roman"/>
          <w:sz w:val="20"/>
          <w:szCs w:val="24"/>
        </w:rPr>
        <w:t xml:space="preserve">(E-test) for confirmation of ESBL-production. Multiplex PCR was also evaluated for detection of ESBL-producers. Statistical analysis was performed including sensitivity, specificity, positive and negative </w:t>
      </w:r>
      <w:proofErr w:type="spellStart"/>
      <w:r w:rsidRPr="00AB08D4">
        <w:rPr>
          <w:rFonts w:ascii="Times New Roman" w:hAnsi="Times New Roman" w:cs="Times New Roman"/>
          <w:sz w:val="20"/>
          <w:szCs w:val="24"/>
        </w:rPr>
        <w:t>predictivity</w:t>
      </w:r>
      <w:proofErr w:type="spellEnd"/>
      <w:r w:rsidRPr="00AB08D4">
        <w:rPr>
          <w:rFonts w:ascii="Times New Roman" w:hAnsi="Times New Roman" w:cs="Times New Roman"/>
          <w:sz w:val="20"/>
          <w:szCs w:val="24"/>
        </w:rPr>
        <w:t>.</w:t>
      </w:r>
    </w:p>
    <w:p w:rsidR="00687C35" w:rsidRPr="00AB08D4" w:rsidRDefault="00687C35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 w:rsidRPr="00AB08D4">
        <w:rPr>
          <w:rFonts w:ascii="Times New Roman" w:hAnsi="Times New Roman" w:cs="Times New Roman"/>
          <w:b/>
          <w:sz w:val="20"/>
          <w:szCs w:val="24"/>
        </w:rPr>
        <w:t>Findings</w:t>
      </w:r>
      <w:r w:rsidRPr="00AB08D4">
        <w:rPr>
          <w:rFonts w:ascii="Times New Roman" w:hAnsi="Times New Roman" w:cs="Times New Roman"/>
          <w:sz w:val="20"/>
          <w:szCs w:val="24"/>
        </w:rPr>
        <w:t xml:space="preserve">: Among </w:t>
      </w:r>
      <w:r w:rsidR="00AB08D4">
        <w:rPr>
          <w:rFonts w:ascii="Times New Roman" w:hAnsi="Times New Roman" w:cs="Times New Roman"/>
          <w:sz w:val="20"/>
          <w:szCs w:val="24"/>
        </w:rPr>
        <w:t>230 isolates processed, 149 (65</w:t>
      </w:r>
      <w:r w:rsidRPr="00AB08D4">
        <w:rPr>
          <w:rFonts w:ascii="Times New Roman" w:hAnsi="Times New Roman" w:cs="Times New Roman"/>
          <w:sz w:val="20"/>
          <w:szCs w:val="24"/>
        </w:rPr>
        <w:t xml:space="preserve">%) isolates were detected as ESBL-producers by whole genome sequencing. These include </w:t>
      </w:r>
      <w:r w:rsidRPr="00AB08D4">
        <w:rPr>
          <w:rFonts w:ascii="Times New Roman" w:hAnsi="Times New Roman" w:cs="Times New Roman"/>
          <w:i/>
          <w:sz w:val="20"/>
          <w:szCs w:val="24"/>
        </w:rPr>
        <w:t>Escherichia coli</w:t>
      </w:r>
      <w:r w:rsidR="00AB08D4">
        <w:rPr>
          <w:rFonts w:ascii="Times New Roman" w:hAnsi="Times New Roman" w:cs="Times New Roman"/>
          <w:sz w:val="20"/>
          <w:szCs w:val="24"/>
        </w:rPr>
        <w:t xml:space="preserve"> (108; 72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Klebsiella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pneumoniae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(12; 8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r w:rsidRPr="00AB08D4">
        <w:rPr>
          <w:rFonts w:ascii="Times New Roman" w:hAnsi="Times New Roman" w:cs="Times New Roman"/>
          <w:i/>
          <w:sz w:val="20"/>
          <w:szCs w:val="24"/>
        </w:rPr>
        <w:t>Pseudomonas aeruginosa</w:t>
      </w:r>
      <w:r w:rsidR="00AB08D4">
        <w:rPr>
          <w:rFonts w:ascii="Times New Roman" w:hAnsi="Times New Roman" w:cs="Times New Roman"/>
          <w:sz w:val="20"/>
          <w:szCs w:val="24"/>
        </w:rPr>
        <w:t xml:space="preserve"> (4; 3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r w:rsidRPr="00AB08D4">
        <w:rPr>
          <w:rFonts w:ascii="Times New Roman" w:hAnsi="Times New Roman" w:cs="Times New Roman"/>
          <w:i/>
          <w:sz w:val="20"/>
          <w:szCs w:val="24"/>
        </w:rPr>
        <w:t>Enterobacter cloacae</w:t>
      </w:r>
      <w:r w:rsidR="00AB08D4">
        <w:rPr>
          <w:rFonts w:ascii="Times New Roman" w:hAnsi="Times New Roman" w:cs="Times New Roman"/>
          <w:sz w:val="20"/>
          <w:szCs w:val="24"/>
        </w:rPr>
        <w:t xml:space="preserve"> (4; 3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Acinetobacter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baumannii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(4; 3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Serratia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liquificians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(12; 8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Hafnia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alvi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(3; 2</w:t>
      </w:r>
      <w:r w:rsidRPr="00AB08D4">
        <w:rPr>
          <w:rFonts w:ascii="Times New Roman" w:hAnsi="Times New Roman" w:cs="Times New Roman"/>
          <w:sz w:val="20"/>
          <w:szCs w:val="24"/>
        </w:rPr>
        <w:t xml:space="preserve">%) and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Morgenella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morganii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(2; 1</w:t>
      </w:r>
      <w:r w:rsidRPr="00AB08D4">
        <w:rPr>
          <w:rFonts w:ascii="Times New Roman" w:hAnsi="Times New Roman" w:cs="Times New Roman"/>
          <w:sz w:val="20"/>
          <w:szCs w:val="24"/>
        </w:rPr>
        <w:t>%). Com</w:t>
      </w:r>
      <w:r w:rsidR="00AB08D4">
        <w:rPr>
          <w:rFonts w:ascii="Times New Roman" w:hAnsi="Times New Roman" w:cs="Times New Roman"/>
          <w:sz w:val="20"/>
          <w:szCs w:val="24"/>
        </w:rPr>
        <w:t>bination disc test indicated 82</w:t>
      </w:r>
      <w:r w:rsidRPr="00AB08D4">
        <w:rPr>
          <w:rFonts w:ascii="Times New Roman" w:hAnsi="Times New Roman" w:cs="Times New Roman"/>
          <w:sz w:val="20"/>
          <w:szCs w:val="24"/>
        </w:rPr>
        <w:t>% (122) isolates as ESBL-producers. Double</w:t>
      </w:r>
      <w:r w:rsidR="00AB08D4">
        <w:rPr>
          <w:rFonts w:ascii="Times New Roman" w:hAnsi="Times New Roman" w:cs="Times New Roman"/>
          <w:sz w:val="20"/>
          <w:szCs w:val="24"/>
        </w:rPr>
        <w:t xml:space="preserve"> disc synergy test indicated 39% (58) and E-test 56</w:t>
      </w:r>
      <w:r w:rsidRPr="00AB08D4">
        <w:rPr>
          <w:rFonts w:ascii="Times New Roman" w:hAnsi="Times New Roman" w:cs="Times New Roman"/>
          <w:sz w:val="20"/>
          <w:szCs w:val="24"/>
        </w:rPr>
        <w:t>% (83) of isolates as ESBL-producer. Multipl</w:t>
      </w:r>
      <w:r w:rsidR="00AB08D4">
        <w:rPr>
          <w:rFonts w:ascii="Times New Roman" w:hAnsi="Times New Roman" w:cs="Times New Roman"/>
          <w:sz w:val="20"/>
          <w:szCs w:val="24"/>
        </w:rPr>
        <w:t>ex-PCR of isolates indicated 70</w:t>
      </w:r>
      <w:r w:rsidRPr="00AB08D4">
        <w:rPr>
          <w:rFonts w:ascii="Times New Roman" w:hAnsi="Times New Roman" w:cs="Times New Roman"/>
          <w:sz w:val="20"/>
          <w:szCs w:val="24"/>
        </w:rPr>
        <w:t>% isolates had blaCTXM-1 g</w:t>
      </w:r>
      <w:r w:rsidR="00AB08D4">
        <w:rPr>
          <w:rFonts w:ascii="Times New Roman" w:hAnsi="Times New Roman" w:cs="Times New Roman"/>
          <w:sz w:val="20"/>
          <w:szCs w:val="24"/>
        </w:rPr>
        <w:t xml:space="preserve">ene followed by </w:t>
      </w:r>
      <w:proofErr w:type="spellStart"/>
      <w:r w:rsidR="00AB08D4">
        <w:rPr>
          <w:rFonts w:ascii="Times New Roman" w:hAnsi="Times New Roman" w:cs="Times New Roman"/>
          <w:sz w:val="20"/>
          <w:szCs w:val="24"/>
        </w:rPr>
        <w:t>blaTEM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(53%), </w:t>
      </w:r>
      <w:proofErr w:type="spellStart"/>
      <w:r w:rsidR="00AB08D4">
        <w:rPr>
          <w:rFonts w:ascii="Times New Roman" w:hAnsi="Times New Roman" w:cs="Times New Roman"/>
          <w:sz w:val="20"/>
          <w:szCs w:val="24"/>
        </w:rPr>
        <w:t>blaSHV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(23%) and </w:t>
      </w:r>
      <w:proofErr w:type="spellStart"/>
      <w:r w:rsidR="00AB08D4">
        <w:rPr>
          <w:rFonts w:ascii="Times New Roman" w:hAnsi="Times New Roman" w:cs="Times New Roman"/>
          <w:sz w:val="20"/>
          <w:szCs w:val="24"/>
        </w:rPr>
        <w:t>blaOXA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(51</w:t>
      </w:r>
      <w:r w:rsidRPr="00AB08D4">
        <w:rPr>
          <w:rFonts w:ascii="Times New Roman" w:hAnsi="Times New Roman" w:cs="Times New Roman"/>
          <w:sz w:val="20"/>
          <w:szCs w:val="24"/>
        </w:rPr>
        <w:t>%) genes. True-posit</w:t>
      </w:r>
      <w:r w:rsidR="00AB08D4">
        <w:rPr>
          <w:rFonts w:ascii="Times New Roman" w:hAnsi="Times New Roman" w:cs="Times New Roman"/>
          <w:sz w:val="20"/>
          <w:szCs w:val="24"/>
        </w:rPr>
        <w:t>ivity rate was high in CDST (74</w:t>
      </w:r>
      <w:r w:rsidRPr="00AB08D4">
        <w:rPr>
          <w:rFonts w:ascii="Times New Roman" w:hAnsi="Times New Roman" w:cs="Times New Roman"/>
          <w:sz w:val="20"/>
          <w:szCs w:val="24"/>
        </w:rPr>
        <w:t>%) and slig</w:t>
      </w:r>
      <w:r w:rsidR="00AB08D4">
        <w:rPr>
          <w:rFonts w:ascii="Times New Roman" w:hAnsi="Times New Roman" w:cs="Times New Roman"/>
          <w:sz w:val="20"/>
          <w:szCs w:val="24"/>
        </w:rPr>
        <w:t>htly higher false-positivity (9</w:t>
      </w:r>
      <w:r w:rsidRPr="00AB08D4">
        <w:rPr>
          <w:rFonts w:ascii="Times New Roman" w:hAnsi="Times New Roman" w:cs="Times New Roman"/>
          <w:sz w:val="20"/>
          <w:szCs w:val="24"/>
        </w:rPr>
        <w:t>%) among all phenotypic tests. CDST had high sensitivit</w:t>
      </w:r>
      <w:r w:rsidR="00AB08D4">
        <w:rPr>
          <w:rFonts w:ascii="Times New Roman" w:hAnsi="Times New Roman" w:cs="Times New Roman"/>
          <w:sz w:val="20"/>
          <w:szCs w:val="24"/>
        </w:rPr>
        <w:t>y (83%) and low specificity [7% (0.17</w:t>
      </w:r>
      <w:r w:rsidRPr="00AB08D4">
        <w:rPr>
          <w:rFonts w:ascii="Times New Roman" w:hAnsi="Times New Roman" w:cs="Times New Roman"/>
          <w:sz w:val="20"/>
          <w:szCs w:val="24"/>
        </w:rPr>
        <w:t>% to 3</w:t>
      </w:r>
      <w:r w:rsidR="00AB08D4">
        <w:rPr>
          <w:rFonts w:ascii="Times New Roman" w:hAnsi="Times New Roman" w:cs="Times New Roman"/>
          <w:sz w:val="20"/>
          <w:szCs w:val="24"/>
        </w:rPr>
        <w:t>1.95</w:t>
      </w:r>
      <w:r w:rsidRPr="00AB08D4">
        <w:rPr>
          <w:rFonts w:ascii="Times New Roman" w:hAnsi="Times New Roman" w:cs="Times New Roman"/>
          <w:sz w:val="20"/>
          <w:szCs w:val="24"/>
        </w:rPr>
        <w:t>%)]</w:t>
      </w:r>
      <w:r w:rsidR="00AB08D4">
        <w:rPr>
          <w:rFonts w:ascii="Times New Roman" w:hAnsi="Times New Roman" w:cs="Times New Roman"/>
          <w:sz w:val="20"/>
          <w:szCs w:val="24"/>
        </w:rPr>
        <w:t>. DDST had high-specificity (86</w:t>
      </w:r>
      <w:r w:rsidRPr="00AB08D4">
        <w:rPr>
          <w:rFonts w:ascii="Times New Roman" w:hAnsi="Times New Roman" w:cs="Times New Roman"/>
          <w:sz w:val="20"/>
          <w:szCs w:val="24"/>
        </w:rPr>
        <w:t>%), highest LR+ (3.0</w:t>
      </w:r>
      <w:r w:rsidR="00AB08D4">
        <w:rPr>
          <w:rFonts w:ascii="Times New Roman" w:hAnsi="Times New Roman" w:cs="Times New Roman"/>
          <w:sz w:val="20"/>
          <w:szCs w:val="24"/>
        </w:rPr>
        <w:t>5), high-disease prevalence (91%) and PPV (97</w:t>
      </w:r>
      <w:r w:rsidRPr="00AB08D4">
        <w:rPr>
          <w:rFonts w:ascii="Times New Roman" w:hAnsi="Times New Roman" w:cs="Times New Roman"/>
          <w:sz w:val="20"/>
          <w:szCs w:val="24"/>
        </w:rPr>
        <w:t>%). Ac</w:t>
      </w:r>
      <w:r w:rsidR="00AB08D4">
        <w:rPr>
          <w:rFonts w:ascii="Times New Roman" w:hAnsi="Times New Roman" w:cs="Times New Roman"/>
          <w:sz w:val="20"/>
          <w:szCs w:val="24"/>
        </w:rPr>
        <w:t>curacy was highest for CDST (75</w:t>
      </w:r>
      <w:r w:rsidRPr="00AB08D4">
        <w:rPr>
          <w:rFonts w:ascii="Times New Roman" w:hAnsi="Times New Roman" w:cs="Times New Roman"/>
          <w:sz w:val="20"/>
          <w:szCs w:val="24"/>
        </w:rPr>
        <w:t>%) followe</w:t>
      </w:r>
      <w:r w:rsidR="00AB08D4">
        <w:rPr>
          <w:rFonts w:ascii="Times New Roman" w:hAnsi="Times New Roman" w:cs="Times New Roman"/>
          <w:sz w:val="20"/>
          <w:szCs w:val="24"/>
        </w:rPr>
        <w:t>d by E-test (59%) and DDST (48</w:t>
      </w:r>
      <w:r w:rsidRPr="00AB08D4">
        <w:rPr>
          <w:rFonts w:ascii="Times New Roman" w:hAnsi="Times New Roman" w:cs="Times New Roman"/>
          <w:sz w:val="20"/>
          <w:szCs w:val="24"/>
        </w:rPr>
        <w:t>%). PCR-based detectio</w:t>
      </w:r>
      <w:r w:rsidR="00AB08D4">
        <w:rPr>
          <w:rFonts w:ascii="Times New Roman" w:hAnsi="Times New Roman" w:cs="Times New Roman"/>
          <w:sz w:val="20"/>
          <w:szCs w:val="24"/>
        </w:rPr>
        <w:t>n test had high-sensitivity (97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high-specificity </w:t>
      </w:r>
      <w:r w:rsidR="00AB08D4">
        <w:rPr>
          <w:rFonts w:ascii="Times New Roman" w:hAnsi="Times New Roman" w:cs="Times New Roman"/>
          <w:sz w:val="20"/>
          <w:szCs w:val="24"/>
        </w:rPr>
        <w:t>(87%) and highest-accuracy (96</w:t>
      </w:r>
      <w:r w:rsidRPr="00AB08D4">
        <w:rPr>
          <w:rFonts w:ascii="Times New Roman" w:hAnsi="Times New Roman" w:cs="Times New Roman"/>
          <w:sz w:val="20"/>
          <w:szCs w:val="24"/>
        </w:rPr>
        <w:t>%).</w:t>
      </w:r>
    </w:p>
    <w:p w:rsidR="00687C35" w:rsidRPr="00AB08D4" w:rsidRDefault="00AB08D4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>Conclusion</w:t>
      </w:r>
      <w:r w:rsidR="00687C35" w:rsidRPr="00AB08D4">
        <w:rPr>
          <w:rFonts w:ascii="Times New Roman" w:hAnsi="Times New Roman" w:cs="Times New Roman"/>
          <w:sz w:val="20"/>
          <w:szCs w:val="24"/>
        </w:rPr>
        <w:t>: Combination disc test has high sensitivity but low specificity. PCR-based test is most suitable with highest sensitivity, specificity and accuracy among phenotypic and molecular tests. So, PCR-based tests must be used for detection of ESBL-producers in Pakistan for targeted therapy.</w:t>
      </w:r>
    </w:p>
    <w:p w:rsidR="00687C35" w:rsidRPr="00AB08D4" w:rsidRDefault="00687C35" w:rsidP="00AB08D4">
      <w:pPr>
        <w:rPr>
          <w:rFonts w:ascii="Times New Roman" w:hAnsi="Times New Roman" w:cs="Times New Roman"/>
          <w:b/>
          <w:sz w:val="24"/>
          <w:szCs w:val="24"/>
        </w:rPr>
      </w:pPr>
      <w:r w:rsidRPr="00AB08D4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87C35" w:rsidRPr="00AB08D4" w:rsidRDefault="00AB08D4" w:rsidP="00AB08D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B08D4">
        <w:rPr>
          <w:rFonts w:ascii="Times New Roman" w:hAnsi="Times New Roman" w:cs="Times New Roman"/>
          <w:sz w:val="20"/>
          <w:szCs w:val="24"/>
        </w:rPr>
        <w:t>Samyyia</w:t>
      </w:r>
      <w:proofErr w:type="spellEnd"/>
      <w:r w:rsidRPr="00AB08D4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sz w:val="20"/>
          <w:szCs w:val="24"/>
        </w:rPr>
        <w:t>Abrar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is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serving as </w:t>
      </w:r>
      <w:r w:rsidR="00687C35" w:rsidRPr="00AB08D4">
        <w:rPr>
          <w:rFonts w:ascii="Times New Roman" w:hAnsi="Times New Roman" w:cs="Times New Roman"/>
          <w:bCs/>
          <w:sz w:val="20"/>
          <w:szCs w:val="24"/>
        </w:rPr>
        <w:t>Assistant Professor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in the Department of Biological Sciences at The Superior University, Lahore.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</w:t>
      </w:r>
      <w:r w:rsidRPr="00AB08D4">
        <w:rPr>
          <w:rFonts w:ascii="Times New Roman" w:hAnsi="Times New Roman" w:cs="Times New Roman"/>
          <w:sz w:val="20"/>
          <w:szCs w:val="24"/>
        </w:rPr>
        <w:t>has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also been working at Department of Microbiology and Molecular Genetics, University of the Punjab as a Research Scholar. </w:t>
      </w:r>
      <w:r>
        <w:rPr>
          <w:rFonts w:ascii="Times New Roman" w:eastAsia="SimSu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</w:t>
      </w:r>
      <w:r w:rsidRPr="00AB08D4">
        <w:rPr>
          <w:rFonts w:ascii="Times New Roman" w:eastAsia="SimSun" w:hAnsi="Times New Roman" w:cs="Times New Roman"/>
          <w:sz w:val="20"/>
          <w:szCs w:val="24"/>
        </w:rPr>
        <w:t>has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also been associated with </w:t>
      </w:r>
      <w:proofErr w:type="spellStart"/>
      <w:r w:rsidR="00687C35" w:rsidRPr="00AB08D4">
        <w:rPr>
          <w:rFonts w:ascii="Times New Roman" w:eastAsia="SimSun" w:hAnsi="Times New Roman" w:cs="Times New Roman"/>
          <w:sz w:val="20"/>
          <w:szCs w:val="24"/>
        </w:rPr>
        <w:t>Quadram</w:t>
      </w:r>
      <w:proofErr w:type="spellEnd"/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Institute of Biosciences, Norwich, </w:t>
      </w:r>
      <w:proofErr w:type="gramStart"/>
      <w:r w:rsidR="00687C35" w:rsidRPr="00AB08D4">
        <w:rPr>
          <w:rFonts w:ascii="Times New Roman" w:eastAsia="SimSun" w:hAnsi="Times New Roman" w:cs="Times New Roman"/>
          <w:sz w:val="20"/>
          <w:szCs w:val="24"/>
        </w:rPr>
        <w:t>Norfolk</w:t>
      </w:r>
      <w:proofErr w:type="gramEnd"/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, UK for </w:t>
      </w:r>
      <w:r>
        <w:rPr>
          <w:rFonts w:ascii="Times New Roman" w:eastAsia="SimSun" w:hAnsi="Times New Roman" w:cs="Times New Roman"/>
          <w:sz w:val="20"/>
          <w:szCs w:val="24"/>
        </w:rPr>
        <w:t>her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PhD.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received </w:t>
      </w:r>
      <w:r>
        <w:rPr>
          <w:rFonts w:ascii="Times New Roman" w:hAnsi="Times New Roman" w:cs="Times New Roman"/>
          <w:sz w:val="20"/>
          <w:szCs w:val="24"/>
        </w:rPr>
        <w:t>her doctoral degree (Ph</w:t>
      </w:r>
      <w:r w:rsidR="00687C35" w:rsidRPr="00AB08D4">
        <w:rPr>
          <w:rFonts w:ascii="Times New Roman" w:hAnsi="Times New Roman" w:cs="Times New Roman"/>
          <w:sz w:val="20"/>
          <w:szCs w:val="24"/>
        </w:rPr>
        <w:t>D Microbiology and Molecular Genetics) with a dissertation written on ‘The Molecular Analysis of β-Lactam Genes from Clinical Isolates’ at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the Department of Microbiology and Molecular Genetics, University of the Punjab, Lahore, Pakistan in December 2020.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hold a Master’s degree in Microbiology and Molecular Genetics (MS Microbiology and Molecular Genetics) with a dissertation written on “Phenotypic and Molecular characterization of CTX-M </w:t>
      </w:r>
      <w:r w:rsidR="00687C35" w:rsidRPr="00AB08D4">
        <w:rPr>
          <w:rFonts w:ascii="Times New Roman" w:hAnsi="Times New Roman" w:cs="Times New Roman"/>
          <w:sz w:val="20"/>
          <w:szCs w:val="24"/>
        </w:rPr>
        <w:lastRenderedPageBreak/>
        <w:t xml:space="preserve">encoding Beta-lactamases from Clinical </w:t>
      </w:r>
      <w:proofErr w:type="spellStart"/>
      <w:r w:rsidR="00687C35" w:rsidRPr="00AB08D4">
        <w:rPr>
          <w:rFonts w:ascii="Times New Roman" w:hAnsi="Times New Roman" w:cs="Times New Roman"/>
          <w:i/>
          <w:sz w:val="20"/>
          <w:szCs w:val="24"/>
        </w:rPr>
        <w:t>Enterobacteriaceae</w:t>
      </w:r>
      <w:proofErr w:type="spellEnd"/>
      <w:r w:rsidR="00687C35" w:rsidRPr="00AB08D4">
        <w:rPr>
          <w:rFonts w:ascii="Times New Roman" w:hAnsi="Times New Roman" w:cs="Times New Roman"/>
          <w:i/>
          <w:sz w:val="20"/>
          <w:szCs w:val="24"/>
        </w:rPr>
        <w:t xml:space="preserve">” 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from the Department of Microbiology and Molecular Genetics, University of the Punjab, Lahore in 2015. Moreover,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did </w:t>
      </w:r>
      <w:r>
        <w:rPr>
          <w:rFonts w:ascii="Times New Roman" w:hAnsi="Times New Roman" w:cs="Times New Roman"/>
          <w:sz w:val="20"/>
          <w:szCs w:val="24"/>
        </w:rPr>
        <w:t>her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graduate degree in Microbiology and Molecular Genetics [BS (Hons)] with thesis titled as “Molecular Analysis of β-lactam genes from Clinical Isolates” from the Department of Microbiology and Molecular Genetics, University of the Punjab, Lahore, Pakistan. </w:t>
      </w:r>
      <w:bookmarkEnd w:id="0"/>
    </w:p>
    <w:sectPr w:rsidR="00687C35" w:rsidRPr="00AB08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C35"/>
    <w:rsid w:val="00687C35"/>
    <w:rsid w:val="008D06F0"/>
    <w:rsid w:val="00AB08D4"/>
    <w:rsid w:val="00CD1D07"/>
    <w:rsid w:val="00DF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C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C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687C35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87C35"/>
    <w:rPr>
      <w:rFonts w:ascii="Tw Cen MT" w:eastAsia="Tw Cen MT" w:hAnsi="Tw Cen MT" w:cs="Tw Cen MT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C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C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687C35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87C35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Kajol Singh</dc:creator>
  <cp:lastModifiedBy>Swetha Sandala</cp:lastModifiedBy>
  <cp:revision>4</cp:revision>
  <dcterms:created xsi:type="dcterms:W3CDTF">2022-10-17T11:20:00Z</dcterms:created>
  <dcterms:modified xsi:type="dcterms:W3CDTF">2022-10-18T09:59:00Z</dcterms:modified>
</cp:coreProperties>
</file>