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1331" w:rsidRPr="000C6560" w:rsidRDefault="002B1331" w:rsidP="005C0C86">
      <w:pPr>
        <w:pStyle w:val="BodyText"/>
        <w:spacing w:after="200" w:line="276" w:lineRule="auto"/>
        <w:rPr>
          <w:rFonts w:ascii="Times New Roman" w:eastAsia="Minion Pro" w:hAnsi="Times New Roman" w:cs="Times New Roman"/>
          <w:b/>
          <w:bCs/>
          <w:sz w:val="32"/>
          <w:szCs w:val="32"/>
        </w:rPr>
      </w:pPr>
      <w:r w:rsidRPr="000C6560">
        <w:rPr>
          <w:rFonts w:ascii="Times New Roman" w:eastAsia="Minion Pro" w:hAnsi="Times New Roman" w:cs="Times New Roman"/>
          <w:b/>
          <w:bCs/>
          <w:sz w:val="32"/>
          <w:szCs w:val="32"/>
        </w:rPr>
        <w:t xml:space="preserve">Co-infection and </w:t>
      </w:r>
      <w:r w:rsidR="000C6560" w:rsidRPr="000C6560">
        <w:rPr>
          <w:rFonts w:ascii="Times New Roman" w:eastAsia="Minion Pro" w:hAnsi="Times New Roman" w:cs="Times New Roman"/>
          <w:b/>
          <w:bCs/>
          <w:sz w:val="32"/>
          <w:szCs w:val="32"/>
        </w:rPr>
        <w:t>cancer</w:t>
      </w:r>
      <w:r w:rsidRPr="000C6560">
        <w:rPr>
          <w:rFonts w:ascii="Times New Roman" w:eastAsia="Minion Pro" w:hAnsi="Times New Roman" w:cs="Times New Roman"/>
          <w:b/>
          <w:bCs/>
          <w:sz w:val="32"/>
          <w:szCs w:val="32"/>
        </w:rPr>
        <w:t>: Host-</w:t>
      </w:r>
      <w:r w:rsidR="000C6560" w:rsidRPr="000C6560">
        <w:rPr>
          <w:rFonts w:ascii="Times New Roman" w:eastAsia="Minion Pro" w:hAnsi="Times New Roman" w:cs="Times New Roman"/>
          <w:b/>
          <w:bCs/>
          <w:sz w:val="32"/>
          <w:szCs w:val="32"/>
        </w:rPr>
        <w:t xml:space="preserve">pathogen interaction </w:t>
      </w:r>
      <w:r w:rsidRPr="000C6560">
        <w:rPr>
          <w:rFonts w:ascii="Times New Roman" w:eastAsia="Minion Pro" w:hAnsi="Times New Roman" w:cs="Times New Roman"/>
          <w:b/>
          <w:bCs/>
          <w:sz w:val="32"/>
          <w:szCs w:val="32"/>
        </w:rPr>
        <w:t xml:space="preserve">in </w:t>
      </w:r>
      <w:r w:rsidR="000C6560" w:rsidRPr="000C6560">
        <w:rPr>
          <w:rFonts w:ascii="Times New Roman" w:eastAsia="Minion Pro" w:hAnsi="Times New Roman" w:cs="Times New Roman"/>
          <w:b/>
          <w:bCs/>
          <w:sz w:val="32"/>
          <w:szCs w:val="32"/>
        </w:rPr>
        <w:t xml:space="preserve">dendritic cells </w:t>
      </w:r>
      <w:r w:rsidRPr="000C6560">
        <w:rPr>
          <w:rFonts w:ascii="Times New Roman" w:eastAsia="Minion Pro" w:hAnsi="Times New Roman" w:cs="Times New Roman"/>
          <w:b/>
          <w:bCs/>
          <w:sz w:val="32"/>
          <w:szCs w:val="32"/>
        </w:rPr>
        <w:t xml:space="preserve">and HIV-1, HTLV-1, and </w:t>
      </w:r>
      <w:r w:rsidR="000C6560" w:rsidRPr="000C6560">
        <w:rPr>
          <w:rFonts w:ascii="Times New Roman" w:eastAsia="Minion Pro" w:hAnsi="Times New Roman" w:cs="Times New Roman"/>
          <w:b/>
          <w:bCs/>
          <w:sz w:val="32"/>
          <w:szCs w:val="32"/>
        </w:rPr>
        <w:t>other oncogenic viruses</w:t>
      </w:r>
    </w:p>
    <w:p w:rsidR="005C0C86" w:rsidRPr="000C6560" w:rsidRDefault="009C7B7C" w:rsidP="005C0C86">
      <w:pPr>
        <w:pStyle w:val="BodyText"/>
        <w:spacing w:after="200" w:line="276" w:lineRule="auto"/>
        <w:rPr>
          <w:rFonts w:ascii="Times New Roman" w:hAnsi="Times New Roman" w:cs="Times New Roman"/>
          <w:sz w:val="24"/>
          <w:szCs w:val="24"/>
        </w:rPr>
      </w:pPr>
      <w:r w:rsidRPr="000C6560">
        <w:rPr>
          <w:rFonts w:ascii="Times New Roman" w:hAnsi="Times New Roman" w:cs="Times New Roman"/>
          <w:bCs/>
          <w:sz w:val="24"/>
          <w:szCs w:val="24"/>
        </w:rPr>
        <w:t>Daniel J. Gomez</w:t>
      </w:r>
    </w:p>
    <w:p w:rsidR="009C7B7C" w:rsidRPr="000C6560" w:rsidRDefault="00E61D7B" w:rsidP="009C7B7C">
      <w:pPr>
        <w:pStyle w:val="Heading3"/>
        <w:spacing w:before="0" w:after="200"/>
        <w:rPr>
          <w:rFonts w:ascii="Times New Roman" w:eastAsia="Tw Cen MT" w:hAnsi="Times New Roman" w:cs="Times New Roman"/>
          <w:b w:val="0"/>
          <w:bCs w:val="0"/>
          <w:color w:val="auto"/>
          <w:lang w:val="en-US"/>
        </w:rPr>
      </w:pPr>
      <w:r w:rsidRPr="00E61D7B">
        <w:rPr>
          <w:rFonts w:ascii="Times New Roman" w:eastAsia="Tw Cen MT" w:hAnsi="Times New Roman" w:cs="Times New Roman"/>
          <w:b w:val="0"/>
          <w:bCs w:val="0"/>
          <w:color w:val="auto"/>
          <w:lang w:val="en-US"/>
        </w:rPr>
        <w:t>California State University</w:t>
      </w:r>
      <w:r w:rsidR="009C7B7C" w:rsidRPr="000C6560">
        <w:rPr>
          <w:rFonts w:ascii="Times New Roman" w:eastAsia="Tw Cen MT" w:hAnsi="Times New Roman" w:cs="Times New Roman"/>
          <w:b w:val="0"/>
          <w:bCs w:val="0"/>
          <w:color w:val="auto"/>
          <w:lang w:val="en-US"/>
        </w:rPr>
        <w:t xml:space="preserve">, USA </w:t>
      </w:r>
    </w:p>
    <w:p w:rsidR="005C0C86" w:rsidRPr="000C6560" w:rsidRDefault="005C0C86" w:rsidP="005C0C86">
      <w:pPr>
        <w:pStyle w:val="Heading3"/>
        <w:spacing w:before="0" w:after="200"/>
        <w:jc w:val="center"/>
        <w:rPr>
          <w:rFonts w:ascii="Times New Roman" w:hAnsi="Times New Roman" w:cs="Times New Roman"/>
          <w:color w:val="auto"/>
          <w:sz w:val="24"/>
          <w:szCs w:val="24"/>
          <w:lang w:val="en-IN"/>
        </w:rPr>
      </w:pPr>
      <w:r w:rsidRPr="000C6560">
        <w:rPr>
          <w:rFonts w:ascii="Times New Roman" w:hAnsi="Times New Roman" w:cs="Times New Roman"/>
          <w:color w:val="auto"/>
          <w:sz w:val="24"/>
          <w:szCs w:val="24"/>
          <w:lang w:val="en-IN"/>
        </w:rPr>
        <w:t xml:space="preserve">Abstract </w:t>
      </w:r>
    </w:p>
    <w:p w:rsidR="00B252FC" w:rsidRPr="000C6560" w:rsidRDefault="00A26F68" w:rsidP="00A26F68">
      <w:pPr>
        <w:pStyle w:val="BodyText"/>
        <w:spacing w:after="200" w:line="276" w:lineRule="auto"/>
        <w:jc w:val="both"/>
        <w:rPr>
          <w:rFonts w:ascii="Times New Roman" w:eastAsia="Epilogue" w:hAnsi="Times New Roman" w:cs="Times New Roman"/>
          <w:sz w:val="24"/>
          <w:szCs w:val="24"/>
          <w:shd w:val="clear" w:color="auto" w:fill="FFFFFF"/>
        </w:rPr>
      </w:pPr>
      <w:r w:rsidRPr="000C6560">
        <w:rPr>
          <w:rFonts w:ascii="Times New Roman" w:hAnsi="Times New Roman" w:cs="Times New Roman"/>
          <w:sz w:val="20"/>
          <w:szCs w:val="20"/>
          <w:shd w:val="clear" w:color="auto" w:fill="FFFFFF"/>
        </w:rPr>
        <w:t xml:space="preserve">Dendritic </w:t>
      </w:r>
      <w:r w:rsidR="000C6560" w:rsidRPr="000C6560">
        <w:rPr>
          <w:rFonts w:ascii="Times New Roman" w:hAnsi="Times New Roman" w:cs="Times New Roman"/>
          <w:sz w:val="20"/>
          <w:szCs w:val="20"/>
          <w:shd w:val="clear" w:color="auto" w:fill="FFFFFF"/>
        </w:rPr>
        <w:t xml:space="preserve">Cells </w:t>
      </w:r>
      <w:r w:rsidRPr="000C6560">
        <w:rPr>
          <w:rFonts w:ascii="Times New Roman" w:hAnsi="Times New Roman" w:cs="Times New Roman"/>
          <w:sz w:val="20"/>
          <w:szCs w:val="20"/>
          <w:shd w:val="clear" w:color="auto" w:fill="FFFFFF"/>
        </w:rPr>
        <w:t>(DCs) function as a link between innate and adaptive immune responses. Retroviruses HIV-1 and HTLV-1 modulate DCs to their advantage and utilize them to propagate infection. Coinfection of HTLV-1 and HIV-1 has implications for cancer malignancies. Both viruses initially infect DCs and propagate the infection to CD4</w:t>
      </w:r>
      <w:r w:rsidRPr="000C6560">
        <w:rPr>
          <w:rFonts w:ascii="Times New Roman" w:hAnsi="Times New Roman" w:cs="Times New Roman"/>
          <w:sz w:val="20"/>
          <w:szCs w:val="20"/>
          <w:shd w:val="clear" w:color="auto" w:fill="FFFFFF"/>
          <w:vertAlign w:val="superscript"/>
        </w:rPr>
        <w:t>+</w:t>
      </w:r>
      <w:r w:rsidRPr="000C6560">
        <w:rPr>
          <w:rFonts w:ascii="Times New Roman" w:hAnsi="Times New Roman" w:cs="Times New Roman"/>
          <w:sz w:val="20"/>
          <w:szCs w:val="20"/>
          <w:shd w:val="clear" w:color="auto" w:fill="FFFFFF"/>
        </w:rPr>
        <w:t xml:space="preserve"> T cells through cell-to-cell transmission using mechanisms including the formation of </w:t>
      </w:r>
      <w:proofErr w:type="spellStart"/>
      <w:r w:rsidRPr="000C6560">
        <w:rPr>
          <w:rFonts w:ascii="Times New Roman" w:hAnsi="Times New Roman" w:cs="Times New Roman"/>
          <w:sz w:val="20"/>
          <w:szCs w:val="20"/>
          <w:shd w:val="clear" w:color="auto" w:fill="FFFFFF"/>
        </w:rPr>
        <w:t>virologic</w:t>
      </w:r>
      <w:proofErr w:type="spellEnd"/>
      <w:r w:rsidRPr="000C6560">
        <w:rPr>
          <w:rFonts w:ascii="Times New Roman" w:hAnsi="Times New Roman" w:cs="Times New Roman"/>
          <w:sz w:val="20"/>
          <w:szCs w:val="20"/>
          <w:shd w:val="clear" w:color="auto" w:fill="FFFFFF"/>
        </w:rPr>
        <w:t xml:space="preserve"> synapses, viral biofilms, and conduits. These retroviruses are both </w:t>
      </w:r>
      <w:proofErr w:type="spellStart"/>
      <w:r w:rsidRPr="000C6560">
        <w:rPr>
          <w:rFonts w:ascii="Times New Roman" w:hAnsi="Times New Roman" w:cs="Times New Roman"/>
          <w:sz w:val="20"/>
          <w:szCs w:val="20"/>
          <w:shd w:val="clear" w:color="auto" w:fill="FFFFFF"/>
        </w:rPr>
        <w:t>neurotrophic</w:t>
      </w:r>
      <w:proofErr w:type="spellEnd"/>
      <w:r w:rsidRPr="000C6560">
        <w:rPr>
          <w:rFonts w:ascii="Times New Roman" w:hAnsi="Times New Roman" w:cs="Times New Roman"/>
          <w:sz w:val="20"/>
          <w:szCs w:val="20"/>
          <w:shd w:val="clear" w:color="auto" w:fill="FFFFFF"/>
        </w:rPr>
        <w:t xml:space="preserve"> with </w:t>
      </w:r>
      <w:proofErr w:type="spellStart"/>
      <w:r w:rsidRPr="000C6560">
        <w:rPr>
          <w:rFonts w:ascii="Times New Roman" w:hAnsi="Times New Roman" w:cs="Times New Roman"/>
          <w:sz w:val="20"/>
          <w:szCs w:val="20"/>
          <w:shd w:val="clear" w:color="auto" w:fill="FFFFFF"/>
        </w:rPr>
        <w:t>neurovirulence</w:t>
      </w:r>
      <w:proofErr w:type="spellEnd"/>
      <w:r w:rsidRPr="000C6560">
        <w:rPr>
          <w:rFonts w:ascii="Times New Roman" w:hAnsi="Times New Roman" w:cs="Times New Roman"/>
          <w:sz w:val="20"/>
          <w:szCs w:val="20"/>
          <w:shd w:val="clear" w:color="auto" w:fill="FFFFFF"/>
        </w:rPr>
        <w:t xml:space="preserve"> determinants. The </w:t>
      </w:r>
      <w:proofErr w:type="spellStart"/>
      <w:r w:rsidRPr="000C6560">
        <w:rPr>
          <w:rFonts w:ascii="Times New Roman" w:hAnsi="Times New Roman" w:cs="Times New Roman"/>
          <w:sz w:val="20"/>
          <w:szCs w:val="20"/>
          <w:shd w:val="clear" w:color="auto" w:fill="FFFFFF"/>
        </w:rPr>
        <w:t>neuropathogenesis</w:t>
      </w:r>
      <w:proofErr w:type="spellEnd"/>
      <w:r w:rsidRPr="000C6560">
        <w:rPr>
          <w:rFonts w:ascii="Times New Roman" w:hAnsi="Times New Roman" w:cs="Times New Roman"/>
          <w:sz w:val="20"/>
          <w:szCs w:val="20"/>
          <w:shd w:val="clear" w:color="auto" w:fill="FFFFFF"/>
        </w:rPr>
        <w:t xml:space="preserve"> of HIV-1 and HTLV-1</w:t>
      </w:r>
      <w:r w:rsidR="00AD13C8">
        <w:rPr>
          <w:rFonts w:ascii="Times New Roman" w:hAnsi="Times New Roman" w:cs="Times New Roman"/>
          <w:sz w:val="20"/>
          <w:szCs w:val="20"/>
          <w:shd w:val="clear" w:color="auto" w:fill="FFFFFF"/>
        </w:rPr>
        <w:t>,</w:t>
      </w:r>
      <w:r w:rsidRPr="000C6560">
        <w:rPr>
          <w:rFonts w:ascii="Times New Roman" w:hAnsi="Times New Roman" w:cs="Times New Roman"/>
          <w:sz w:val="20"/>
          <w:szCs w:val="20"/>
          <w:shd w:val="clear" w:color="auto" w:fill="FFFFFF"/>
        </w:rPr>
        <w:t xml:space="preserve"> results in neurodegenerative diseases such as HIV-</w:t>
      </w:r>
      <w:r w:rsidR="000C6560" w:rsidRPr="000C6560">
        <w:rPr>
          <w:rFonts w:ascii="Times New Roman" w:hAnsi="Times New Roman" w:cs="Times New Roman"/>
          <w:sz w:val="20"/>
          <w:szCs w:val="20"/>
          <w:shd w:val="clear" w:color="auto" w:fill="FFFFFF"/>
        </w:rPr>
        <w:t xml:space="preserve">Associated Neurocognitive Disorders </w:t>
      </w:r>
      <w:r w:rsidRPr="000C6560">
        <w:rPr>
          <w:rFonts w:ascii="Times New Roman" w:hAnsi="Times New Roman" w:cs="Times New Roman"/>
          <w:sz w:val="20"/>
          <w:szCs w:val="20"/>
          <w:shd w:val="clear" w:color="auto" w:fill="FFFFFF"/>
        </w:rPr>
        <w:t>(HAND) and HTLV-1-associated myelopathy/</w:t>
      </w:r>
      <w:r w:rsidR="000C6560" w:rsidRPr="000C6560">
        <w:rPr>
          <w:rFonts w:ascii="Times New Roman" w:hAnsi="Times New Roman" w:cs="Times New Roman"/>
          <w:sz w:val="20"/>
          <w:szCs w:val="20"/>
          <w:shd w:val="clear" w:color="auto" w:fill="FFFFFF"/>
        </w:rPr>
        <w:t xml:space="preserve">Tropical Spastic </w:t>
      </w:r>
      <w:r w:rsidRPr="000C6560">
        <w:rPr>
          <w:rFonts w:ascii="Times New Roman" w:hAnsi="Times New Roman" w:cs="Times New Roman"/>
          <w:sz w:val="20"/>
          <w:szCs w:val="20"/>
          <w:shd w:val="clear" w:color="auto" w:fill="FFFFFF"/>
        </w:rPr>
        <w:t xml:space="preserve">Para paresis (HAM/TSP). Infected DCs are known to traffic to the brain (CNS) and periphery (PNS, lymphatics) to induce neurodegeneration in HAND and HAM/TSP patients. Elevated levels of </w:t>
      </w:r>
      <w:proofErr w:type="spellStart"/>
      <w:r w:rsidRPr="000C6560">
        <w:rPr>
          <w:rFonts w:ascii="Times New Roman" w:hAnsi="Times New Roman" w:cs="Times New Roman"/>
          <w:sz w:val="20"/>
          <w:szCs w:val="20"/>
          <w:shd w:val="clear" w:color="auto" w:fill="FFFFFF"/>
        </w:rPr>
        <w:t>neuroinflammation</w:t>
      </w:r>
      <w:proofErr w:type="spellEnd"/>
      <w:r w:rsidRPr="000C6560">
        <w:rPr>
          <w:rFonts w:ascii="Times New Roman" w:hAnsi="Times New Roman" w:cs="Times New Roman"/>
          <w:sz w:val="20"/>
          <w:szCs w:val="20"/>
          <w:shd w:val="clear" w:color="auto" w:fill="FFFFFF"/>
        </w:rPr>
        <w:t xml:space="preserve"> have been correlated with cognitive decline and impairment of motor control performance. Current vaccinations and therapeutics for HIV-1 and HTLV-1 are assessed and can be applied to patients with HIV-1-associated cancers and adult T cell leukemia/lymphoma (ATL). These diseases caused by co-infections can result in both neurodegeneration and cancer. There are associations with cancer malignancies and HIV-1 and HTLV-1 as well as other human oncogenic viruses (EBV, HBV, HCV, HDV, and HPV). This review contains current knowledge on DC sensing of HIV-1 and HTLV-1 including DC-SIGN, Tat, Tax, and current viral therapies. An overview of DC interaction with oncogenic viruses including EBV, Hepatitis viruses, and HPV is also provided. Vaccines and therapeutics targeting host–pathogen interactions can provide a solution to co-infections, neurodegeneration, and cancer.</w:t>
      </w:r>
    </w:p>
    <w:p w:rsidR="005C0C86" w:rsidRPr="000C6560" w:rsidRDefault="005C0C86" w:rsidP="00A26F68">
      <w:pPr>
        <w:tabs>
          <w:tab w:val="left" w:pos="384"/>
        </w:tabs>
        <w:rPr>
          <w:rFonts w:ascii="Times New Roman" w:hAnsi="Times New Roman" w:cs="Times New Roman"/>
          <w:b/>
          <w:sz w:val="24"/>
          <w:szCs w:val="24"/>
        </w:rPr>
      </w:pPr>
      <w:r w:rsidRPr="000C6560">
        <w:rPr>
          <w:rFonts w:ascii="Times New Roman" w:hAnsi="Times New Roman" w:cs="Times New Roman"/>
          <w:b/>
          <w:sz w:val="24"/>
          <w:szCs w:val="24"/>
        </w:rPr>
        <w:t>Biography</w:t>
      </w:r>
    </w:p>
    <w:p w:rsidR="00916288" w:rsidRPr="000C6560" w:rsidRDefault="00A26F68" w:rsidP="00FD02ED">
      <w:pPr>
        <w:jc w:val="both"/>
        <w:rPr>
          <w:rFonts w:ascii="Times New Roman" w:hAnsi="Times New Roman" w:cs="Times New Roman"/>
          <w:sz w:val="24"/>
          <w:szCs w:val="24"/>
          <w:lang w:val="en-US"/>
        </w:rPr>
      </w:pPr>
      <w:r w:rsidRPr="000C6560">
        <w:rPr>
          <w:rFonts w:ascii="Times New Roman" w:hAnsi="Times New Roman" w:cs="Times New Roman"/>
          <w:sz w:val="20"/>
          <w:szCs w:val="20"/>
          <w:lang w:val="en-US"/>
        </w:rPr>
        <w:t>Daniel J. Gómez has expertise in HIV-1-</w:t>
      </w:r>
      <w:r w:rsidR="000C6560" w:rsidRPr="000C6560">
        <w:rPr>
          <w:rFonts w:ascii="Times New Roman" w:hAnsi="Times New Roman" w:cs="Times New Roman"/>
          <w:sz w:val="20"/>
          <w:szCs w:val="20"/>
          <w:lang w:val="en-US"/>
        </w:rPr>
        <w:t xml:space="preserve">Associated Neurocognitive Disorders </w:t>
      </w:r>
      <w:r w:rsidRPr="000C6560">
        <w:rPr>
          <w:rFonts w:ascii="Times New Roman" w:hAnsi="Times New Roman" w:cs="Times New Roman"/>
          <w:sz w:val="20"/>
          <w:szCs w:val="20"/>
          <w:lang w:val="en-US"/>
        </w:rPr>
        <w:t xml:space="preserve">(HAND) and a passion in improving the health and wellbeing of those with neurological infections leading to neuro-oncological pathology. He has 7 years of academic and commercial research experience in multiple states in the USA. His focus in undergraduate school was Molecular Cell Biology, Tropical Medicine, Medical Microbiology, Pharmacology, Neurosciences, Virology, Genetics, Neuro virology, and Cancer. He became an independent researcher at age 25 while doing a proof-of-concept study with original research in clinical neuro virology. He has explored areas such as neuro immune pharmacology, therapeutics, anesthesiology, toxicology, oncology, structural and molecular biophysics, and cell-based/gene therapy. As faculty, he serves as Teaching Associate at Cal State East Bay, Department of Biology. He is also a member of the Society of </w:t>
      </w:r>
      <w:proofErr w:type="spellStart"/>
      <w:r w:rsidRPr="000C6560">
        <w:rPr>
          <w:rFonts w:ascii="Times New Roman" w:hAnsi="Times New Roman" w:cs="Times New Roman"/>
          <w:sz w:val="20"/>
          <w:szCs w:val="20"/>
          <w:lang w:val="en-US"/>
        </w:rPr>
        <w:t>Neruo</w:t>
      </w:r>
      <w:proofErr w:type="spellEnd"/>
      <w:r w:rsidRPr="000C6560">
        <w:rPr>
          <w:rFonts w:ascii="Times New Roman" w:hAnsi="Times New Roman" w:cs="Times New Roman"/>
          <w:sz w:val="20"/>
          <w:szCs w:val="20"/>
          <w:lang w:val="en-US"/>
        </w:rPr>
        <w:t>-Oncology. He plans to continue Neuro-Oncology research and deve</w:t>
      </w:r>
      <w:bookmarkStart w:id="0" w:name="_GoBack"/>
      <w:bookmarkEnd w:id="0"/>
      <w:r w:rsidRPr="000C6560">
        <w:rPr>
          <w:rFonts w:ascii="Times New Roman" w:hAnsi="Times New Roman" w:cs="Times New Roman"/>
          <w:sz w:val="20"/>
          <w:szCs w:val="20"/>
          <w:lang w:val="en-US"/>
        </w:rPr>
        <w:t>lop vaccines and gene therapy for PCNSL, DLBCL, HAND, HAM, ATL, brain disorders, and infectious diseases.</w:t>
      </w:r>
    </w:p>
    <w:sectPr w:rsidR="00916288" w:rsidRPr="000C6560" w:rsidSect="00A26F68">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Epilogue">
    <w:altName w:val="Segoe Print"/>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46AD52"/>
    <w:multiLevelType w:val="singleLevel"/>
    <w:tmpl w:val="9346AD52"/>
    <w:lvl w:ilvl="0">
      <w:start w:val="1"/>
      <w:numFmt w:val="decimal"/>
      <w:suff w:val="space"/>
      <w:lvlText w:val="%1."/>
      <w:lvlJc w:val="left"/>
    </w:lvl>
  </w:abstractNum>
  <w:abstractNum w:abstractNumId="1">
    <w:nsid w:val="08F2648C"/>
    <w:multiLevelType w:val="hybridMultilevel"/>
    <w:tmpl w:val="1F127EAE"/>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1"/>
    <w:lvlOverride w:ilvl="0">
      <w:startOverride w:val="1"/>
    </w:lvlOverride>
    <w:lvlOverride w:ilvl="1"/>
    <w:lvlOverride w:ilvl="2"/>
    <w:lvlOverride w:ilvl="3"/>
    <w:lvlOverride w:ilvl="4"/>
    <w:lvlOverride w:ilvl="5"/>
    <w:lvlOverride w:ilvl="6"/>
    <w:lvlOverride w:ilvl="7"/>
    <w:lvlOverride w:ilvl="8"/>
  </w:num>
  <w:num w:numId="2">
    <w:abstractNumId w:val="0"/>
  </w:num>
  <w:num w:numId="3">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0C86"/>
    <w:rsid w:val="000C6560"/>
    <w:rsid w:val="002B1331"/>
    <w:rsid w:val="005C0C86"/>
    <w:rsid w:val="007C37A0"/>
    <w:rsid w:val="007E415A"/>
    <w:rsid w:val="008077D4"/>
    <w:rsid w:val="008C41CB"/>
    <w:rsid w:val="009C7B7C"/>
    <w:rsid w:val="00A26F68"/>
    <w:rsid w:val="00AD13C8"/>
    <w:rsid w:val="00B252FC"/>
    <w:rsid w:val="00B61FC9"/>
    <w:rsid w:val="00C05C91"/>
    <w:rsid w:val="00E61D7B"/>
    <w:rsid w:val="00F244B6"/>
    <w:rsid w:val="00FD02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 w:type="character" w:styleId="Hyperlink">
    <w:name w:val="Hyperlink"/>
    <w:basedOn w:val="DefaultParagraphFont"/>
    <w:uiPriority w:val="99"/>
    <w:unhideWhenUsed/>
    <w:rsid w:val="00A26F6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0C86"/>
    <w:rPr>
      <w:lang w:val="es-US"/>
    </w:rPr>
  </w:style>
  <w:style w:type="paragraph" w:styleId="Heading1">
    <w:name w:val="heading 1"/>
    <w:basedOn w:val="Normal"/>
    <w:link w:val="Heading1Char"/>
    <w:uiPriority w:val="1"/>
    <w:qFormat/>
    <w:rsid w:val="005C0C86"/>
    <w:pPr>
      <w:widowControl w:val="0"/>
      <w:spacing w:before="47" w:after="0" w:line="400" w:lineRule="exact"/>
      <w:ind w:left="100"/>
      <w:outlineLvl w:val="0"/>
    </w:pPr>
    <w:rPr>
      <w:rFonts w:ascii="Minion Pro" w:eastAsia="Minion Pro" w:hAnsi="Minion Pro" w:cs="Minion Pro"/>
      <w:b/>
      <w:bCs/>
      <w:sz w:val="36"/>
      <w:szCs w:val="36"/>
      <w:lang w:val="en-US"/>
    </w:rPr>
  </w:style>
  <w:style w:type="paragraph" w:styleId="Heading3">
    <w:name w:val="heading 3"/>
    <w:basedOn w:val="Normal"/>
    <w:next w:val="Normal"/>
    <w:link w:val="Heading3Char"/>
    <w:uiPriority w:val="9"/>
    <w:semiHidden/>
    <w:unhideWhenUsed/>
    <w:qFormat/>
    <w:rsid w:val="005C0C8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0C8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9"/>
    <w:semiHidden/>
    <w:rsid w:val="005C0C86"/>
    <w:rPr>
      <w:rFonts w:asciiTheme="majorHAnsi" w:eastAsiaTheme="majorEastAsia" w:hAnsiTheme="majorHAnsi" w:cstheme="majorBidi"/>
      <w:b/>
      <w:bCs/>
      <w:color w:val="4F81BD" w:themeColor="accent1"/>
      <w:lang w:val="es-US"/>
    </w:rPr>
  </w:style>
  <w:style w:type="paragraph" w:styleId="CommentText">
    <w:name w:val="annotation text"/>
    <w:basedOn w:val="Normal"/>
    <w:link w:val="CommentTextChar"/>
    <w:uiPriority w:val="99"/>
    <w:semiHidden/>
    <w:unhideWhenUsed/>
    <w:rsid w:val="005C0C86"/>
    <w:pPr>
      <w:widowControl w:val="0"/>
      <w:spacing w:after="0" w:line="240" w:lineRule="auto"/>
    </w:pPr>
    <w:rPr>
      <w:rFonts w:ascii="Tw Cen MT" w:eastAsia="Tw Cen MT" w:hAnsi="Tw Cen MT" w:cs="Tw Cen MT"/>
      <w:sz w:val="20"/>
      <w:szCs w:val="20"/>
      <w:lang w:val="en-US"/>
    </w:rPr>
  </w:style>
  <w:style w:type="character" w:customStyle="1" w:styleId="CommentTextChar">
    <w:name w:val="Comment Text Char"/>
    <w:basedOn w:val="DefaultParagraphFont"/>
    <w:link w:val="CommentText"/>
    <w:uiPriority w:val="99"/>
    <w:semiHidden/>
    <w:rsid w:val="005C0C86"/>
    <w:rPr>
      <w:rFonts w:ascii="Tw Cen MT" w:eastAsia="Tw Cen MT" w:hAnsi="Tw Cen MT" w:cs="Tw Cen MT"/>
      <w:sz w:val="20"/>
      <w:szCs w:val="20"/>
      <w:lang w:val="en-US"/>
    </w:rPr>
  </w:style>
  <w:style w:type="paragraph" w:styleId="BodyText">
    <w:name w:val="Body Text"/>
    <w:basedOn w:val="Normal"/>
    <w:link w:val="BodyTextChar"/>
    <w:uiPriority w:val="1"/>
    <w:unhideWhenUsed/>
    <w:qFormat/>
    <w:rsid w:val="005C0C86"/>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5C0C86"/>
    <w:rPr>
      <w:rFonts w:ascii="Tw Cen MT" w:eastAsia="Tw Cen MT" w:hAnsi="Tw Cen MT" w:cs="Tw Cen MT"/>
      <w:sz w:val="18"/>
      <w:szCs w:val="18"/>
      <w:lang w:val="en-US"/>
    </w:rPr>
  </w:style>
  <w:style w:type="paragraph" w:styleId="ListParagraph">
    <w:name w:val="List Paragraph"/>
    <w:basedOn w:val="Normal"/>
    <w:uiPriority w:val="1"/>
    <w:qFormat/>
    <w:rsid w:val="005C0C86"/>
    <w:pPr>
      <w:widowControl w:val="0"/>
      <w:spacing w:before="90" w:after="0" w:line="200" w:lineRule="exact"/>
      <w:ind w:left="383" w:hanging="283"/>
      <w:jc w:val="both"/>
    </w:pPr>
    <w:rPr>
      <w:rFonts w:ascii="Calibri" w:eastAsia="Calibri" w:hAnsi="Calibri" w:cs="Calibri"/>
      <w:lang w:val="en-US"/>
    </w:rPr>
  </w:style>
  <w:style w:type="character" w:styleId="CommentReference">
    <w:name w:val="annotation reference"/>
    <w:basedOn w:val="DefaultParagraphFont"/>
    <w:uiPriority w:val="99"/>
    <w:semiHidden/>
    <w:unhideWhenUsed/>
    <w:rsid w:val="005C0C86"/>
    <w:rPr>
      <w:sz w:val="16"/>
      <w:szCs w:val="16"/>
    </w:rPr>
  </w:style>
  <w:style w:type="paragraph" w:styleId="BalloonText">
    <w:name w:val="Balloon Text"/>
    <w:basedOn w:val="Normal"/>
    <w:link w:val="BalloonTextChar"/>
    <w:uiPriority w:val="99"/>
    <w:semiHidden/>
    <w:unhideWhenUsed/>
    <w:rsid w:val="005C0C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0C86"/>
    <w:rPr>
      <w:rFonts w:ascii="Tahoma" w:hAnsi="Tahoma" w:cs="Tahoma"/>
      <w:sz w:val="16"/>
      <w:szCs w:val="16"/>
      <w:lang w:val="es-US"/>
    </w:rPr>
  </w:style>
  <w:style w:type="paragraph" w:styleId="NormalWeb">
    <w:name w:val="Normal (Web)"/>
    <w:qFormat/>
    <w:rsid w:val="00B252FC"/>
    <w:pPr>
      <w:spacing w:before="100" w:beforeAutospacing="1" w:after="100" w:afterAutospacing="1" w:line="240" w:lineRule="auto"/>
    </w:pPr>
    <w:rPr>
      <w:rFonts w:ascii="Times New Roman" w:eastAsia="SimSun" w:hAnsi="Times New Roman" w:cs="Times New Roman"/>
      <w:sz w:val="24"/>
      <w:szCs w:val="24"/>
      <w:lang w:val="en-US" w:eastAsia="zh-CN"/>
    </w:rPr>
  </w:style>
  <w:style w:type="character" w:styleId="Strong">
    <w:name w:val="Strong"/>
    <w:basedOn w:val="DefaultParagraphFont"/>
    <w:qFormat/>
    <w:rsid w:val="00B252FC"/>
    <w:rPr>
      <w:b/>
      <w:bCs/>
    </w:rPr>
  </w:style>
  <w:style w:type="character" w:styleId="Hyperlink">
    <w:name w:val="Hyperlink"/>
    <w:basedOn w:val="DefaultParagraphFont"/>
    <w:uiPriority w:val="99"/>
    <w:unhideWhenUsed/>
    <w:rsid w:val="00A26F6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04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1</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34</cp:revision>
  <dcterms:created xsi:type="dcterms:W3CDTF">2022-10-06T03:38:00Z</dcterms:created>
  <dcterms:modified xsi:type="dcterms:W3CDTF">2022-10-11T08:46:00Z</dcterms:modified>
</cp:coreProperties>
</file>