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51175" w:rsidP="00451175">
      <w:pPr>
        <w:rPr>
          <w:rFonts w:ascii="Times New Roman" w:hAnsi="Times New Roman" w:cs="Times New Roman"/>
          <w:b/>
          <w:sz w:val="32"/>
        </w:rPr>
      </w:pPr>
      <w:r w:rsidRPr="00451175">
        <w:rPr>
          <w:rFonts w:ascii="Times New Roman" w:hAnsi="Times New Roman" w:cs="Times New Roman"/>
          <w:b/>
          <w:sz w:val="32"/>
        </w:rPr>
        <w:t>The yield of histology in the evaluation of dysphagia with normal endoscopy</w:t>
      </w:r>
    </w:p>
    <w:p w:rsidR="00451175" w:rsidRDefault="00451175" w:rsidP="00451175">
      <w:pPr>
        <w:rPr>
          <w:rFonts w:ascii="Times New Roman" w:hAnsi="Times New Roman" w:cs="Times New Roman"/>
          <w:sz w:val="24"/>
        </w:rPr>
      </w:pPr>
      <w:proofErr w:type="spellStart"/>
      <w:r w:rsidRPr="00451175">
        <w:rPr>
          <w:rFonts w:ascii="Times New Roman" w:hAnsi="Times New Roman" w:cs="Times New Roman"/>
          <w:sz w:val="24"/>
        </w:rPr>
        <w:t>Amal</w:t>
      </w:r>
      <w:proofErr w:type="spellEnd"/>
      <w:r w:rsidRPr="00451175">
        <w:rPr>
          <w:rFonts w:ascii="Times New Roman" w:hAnsi="Times New Roman" w:cs="Times New Roman"/>
          <w:sz w:val="24"/>
        </w:rPr>
        <w:t xml:space="preserve"> </w:t>
      </w:r>
      <w:proofErr w:type="spellStart"/>
      <w:r w:rsidRPr="00451175">
        <w:rPr>
          <w:rFonts w:ascii="Times New Roman" w:hAnsi="Times New Roman" w:cs="Times New Roman"/>
          <w:sz w:val="24"/>
        </w:rPr>
        <w:t>Khsiba</w:t>
      </w:r>
      <w:proofErr w:type="spellEnd"/>
      <w:r w:rsidRPr="00451175">
        <w:rPr>
          <w:rFonts w:ascii="Times New Roman" w:hAnsi="Times New Roman" w:cs="Times New Roman"/>
          <w:sz w:val="24"/>
        </w:rPr>
        <w:t xml:space="preserve">, </w:t>
      </w:r>
      <w:proofErr w:type="spellStart"/>
      <w:r w:rsidRPr="00451175">
        <w:rPr>
          <w:rFonts w:ascii="Times New Roman" w:hAnsi="Times New Roman" w:cs="Times New Roman"/>
          <w:sz w:val="24"/>
        </w:rPr>
        <w:t>Mouna</w:t>
      </w:r>
      <w:proofErr w:type="spellEnd"/>
      <w:r w:rsidRPr="00451175">
        <w:rPr>
          <w:rFonts w:ascii="Times New Roman" w:hAnsi="Times New Roman" w:cs="Times New Roman"/>
          <w:sz w:val="24"/>
        </w:rPr>
        <w:t xml:space="preserve"> </w:t>
      </w:r>
      <w:proofErr w:type="spellStart"/>
      <w:r w:rsidRPr="00451175">
        <w:rPr>
          <w:rFonts w:ascii="Times New Roman" w:hAnsi="Times New Roman" w:cs="Times New Roman"/>
          <w:sz w:val="24"/>
        </w:rPr>
        <w:t>Medhioub</w:t>
      </w:r>
      <w:proofErr w:type="spellEnd"/>
      <w:r w:rsidRPr="00451175">
        <w:rPr>
          <w:rFonts w:ascii="Times New Roman" w:hAnsi="Times New Roman" w:cs="Times New Roman"/>
          <w:sz w:val="24"/>
        </w:rPr>
        <w:t xml:space="preserve">, Samir </w:t>
      </w:r>
      <w:proofErr w:type="spellStart"/>
      <w:r w:rsidRPr="00451175">
        <w:rPr>
          <w:rFonts w:ascii="Times New Roman" w:hAnsi="Times New Roman" w:cs="Times New Roman"/>
          <w:sz w:val="24"/>
        </w:rPr>
        <w:t>Bradai</w:t>
      </w:r>
      <w:proofErr w:type="spellEnd"/>
      <w:r w:rsidRPr="00451175">
        <w:rPr>
          <w:rFonts w:ascii="Times New Roman" w:hAnsi="Times New Roman" w:cs="Times New Roman"/>
          <w:sz w:val="24"/>
        </w:rPr>
        <w:t xml:space="preserve">, </w:t>
      </w:r>
      <w:proofErr w:type="spellStart"/>
      <w:r w:rsidRPr="00451175">
        <w:rPr>
          <w:rFonts w:ascii="Times New Roman" w:hAnsi="Times New Roman" w:cs="Times New Roman"/>
          <w:sz w:val="24"/>
        </w:rPr>
        <w:t>Moufida</w:t>
      </w:r>
      <w:proofErr w:type="spellEnd"/>
      <w:r w:rsidRPr="00451175">
        <w:rPr>
          <w:rFonts w:ascii="Times New Roman" w:hAnsi="Times New Roman" w:cs="Times New Roman"/>
          <w:sz w:val="24"/>
        </w:rPr>
        <w:t xml:space="preserve"> </w:t>
      </w:r>
      <w:proofErr w:type="spellStart"/>
      <w:r w:rsidRPr="00451175">
        <w:rPr>
          <w:rFonts w:ascii="Times New Roman" w:hAnsi="Times New Roman" w:cs="Times New Roman"/>
          <w:sz w:val="24"/>
        </w:rPr>
        <w:t>Mahmoudi</w:t>
      </w:r>
      <w:proofErr w:type="spellEnd"/>
      <w:r w:rsidRPr="00451175">
        <w:rPr>
          <w:rFonts w:ascii="Times New Roman" w:hAnsi="Times New Roman" w:cs="Times New Roman"/>
          <w:sz w:val="24"/>
        </w:rPr>
        <w:t xml:space="preserve">, </w:t>
      </w:r>
      <w:proofErr w:type="spellStart"/>
      <w:r w:rsidRPr="00451175">
        <w:rPr>
          <w:rFonts w:ascii="Times New Roman" w:hAnsi="Times New Roman" w:cs="Times New Roman"/>
          <w:sz w:val="24"/>
        </w:rPr>
        <w:t>Asma</w:t>
      </w:r>
      <w:proofErr w:type="spellEnd"/>
      <w:r w:rsidRPr="00451175">
        <w:rPr>
          <w:rFonts w:ascii="Times New Roman" w:hAnsi="Times New Roman" w:cs="Times New Roman"/>
          <w:sz w:val="24"/>
        </w:rPr>
        <w:t xml:space="preserve"> Ben Mohamed, </w:t>
      </w:r>
      <w:proofErr w:type="spellStart"/>
      <w:r w:rsidRPr="00451175">
        <w:rPr>
          <w:rFonts w:ascii="Times New Roman" w:hAnsi="Times New Roman" w:cs="Times New Roman"/>
          <w:sz w:val="24"/>
        </w:rPr>
        <w:t>Manel</w:t>
      </w:r>
      <w:proofErr w:type="spellEnd"/>
      <w:r w:rsidRPr="00451175">
        <w:rPr>
          <w:rFonts w:ascii="Times New Roman" w:hAnsi="Times New Roman" w:cs="Times New Roman"/>
          <w:sz w:val="24"/>
        </w:rPr>
        <w:t xml:space="preserve"> </w:t>
      </w:r>
      <w:proofErr w:type="spellStart"/>
      <w:r w:rsidRPr="00451175">
        <w:rPr>
          <w:rFonts w:ascii="Times New Roman" w:hAnsi="Times New Roman" w:cs="Times New Roman"/>
          <w:sz w:val="24"/>
        </w:rPr>
        <w:t>Yaakoubi</w:t>
      </w:r>
      <w:proofErr w:type="spellEnd"/>
      <w:r w:rsidRPr="00451175">
        <w:rPr>
          <w:rFonts w:ascii="Times New Roman" w:hAnsi="Times New Roman" w:cs="Times New Roman"/>
          <w:sz w:val="24"/>
        </w:rPr>
        <w:t xml:space="preserve">, </w:t>
      </w:r>
      <w:proofErr w:type="spellStart"/>
      <w:r w:rsidRPr="00451175">
        <w:rPr>
          <w:rFonts w:ascii="Times New Roman" w:hAnsi="Times New Roman" w:cs="Times New Roman"/>
          <w:sz w:val="24"/>
        </w:rPr>
        <w:t>Lamine</w:t>
      </w:r>
      <w:proofErr w:type="spellEnd"/>
      <w:r w:rsidRPr="00451175">
        <w:rPr>
          <w:rFonts w:ascii="Times New Roman" w:hAnsi="Times New Roman" w:cs="Times New Roman"/>
          <w:sz w:val="24"/>
        </w:rPr>
        <w:t xml:space="preserve"> </w:t>
      </w:r>
      <w:proofErr w:type="spellStart"/>
      <w:r w:rsidRPr="00451175">
        <w:rPr>
          <w:rFonts w:ascii="Times New Roman" w:hAnsi="Times New Roman" w:cs="Times New Roman"/>
          <w:sz w:val="24"/>
        </w:rPr>
        <w:t>Hamzaoui</w:t>
      </w:r>
      <w:proofErr w:type="spellEnd"/>
      <w:r>
        <w:rPr>
          <w:rFonts w:ascii="Times New Roman" w:hAnsi="Times New Roman" w:cs="Times New Roman"/>
          <w:sz w:val="24"/>
        </w:rPr>
        <w:t xml:space="preserve"> and</w:t>
      </w:r>
      <w:r w:rsidRPr="00451175">
        <w:rPr>
          <w:rFonts w:ascii="Times New Roman" w:hAnsi="Times New Roman" w:cs="Times New Roman"/>
          <w:sz w:val="24"/>
        </w:rPr>
        <w:t xml:space="preserve"> </w:t>
      </w:r>
      <w:proofErr w:type="spellStart"/>
      <w:r w:rsidRPr="00451175">
        <w:rPr>
          <w:rFonts w:ascii="Times New Roman" w:hAnsi="Times New Roman" w:cs="Times New Roman"/>
          <w:sz w:val="24"/>
        </w:rPr>
        <w:t>M.M.Azouz</w:t>
      </w:r>
      <w:proofErr w:type="spellEnd"/>
    </w:p>
    <w:p w:rsidR="00451175" w:rsidRPr="00451175" w:rsidRDefault="00451175" w:rsidP="00451175">
      <w:pPr>
        <w:rPr>
          <w:rFonts w:ascii="Times New Roman" w:hAnsi="Times New Roman" w:cs="Times New Roman"/>
        </w:rPr>
      </w:pPr>
      <w:r w:rsidRPr="00451175">
        <w:rPr>
          <w:rFonts w:ascii="Times New Roman" w:hAnsi="Times New Roman" w:cs="Times New Roman"/>
        </w:rPr>
        <w:t xml:space="preserve">Med </w:t>
      </w:r>
      <w:proofErr w:type="spellStart"/>
      <w:r w:rsidRPr="00451175">
        <w:rPr>
          <w:rFonts w:ascii="Times New Roman" w:hAnsi="Times New Roman" w:cs="Times New Roman"/>
        </w:rPr>
        <w:t>Taher</w:t>
      </w:r>
      <w:proofErr w:type="spellEnd"/>
      <w:r w:rsidRPr="00451175">
        <w:rPr>
          <w:rFonts w:ascii="Times New Roman" w:hAnsi="Times New Roman" w:cs="Times New Roman"/>
        </w:rPr>
        <w:t xml:space="preserve"> </w:t>
      </w:r>
      <w:proofErr w:type="spellStart"/>
      <w:r w:rsidRPr="00451175">
        <w:rPr>
          <w:rFonts w:ascii="Times New Roman" w:hAnsi="Times New Roman" w:cs="Times New Roman"/>
        </w:rPr>
        <w:t>Maamouri</w:t>
      </w:r>
      <w:proofErr w:type="spellEnd"/>
      <w:r w:rsidRPr="00451175">
        <w:rPr>
          <w:rFonts w:ascii="Times New Roman" w:hAnsi="Times New Roman" w:cs="Times New Roman"/>
        </w:rPr>
        <w:t xml:space="preserve"> Hospital, Tunisia</w:t>
      </w:r>
    </w:p>
    <w:p w:rsidR="00451175" w:rsidRPr="00451175" w:rsidRDefault="00451175" w:rsidP="00451175">
      <w:pPr>
        <w:jc w:val="center"/>
        <w:rPr>
          <w:rFonts w:ascii="Times New Roman" w:hAnsi="Times New Roman" w:cs="Times New Roman"/>
          <w:b/>
          <w:sz w:val="24"/>
        </w:rPr>
      </w:pPr>
      <w:r w:rsidRPr="00451175">
        <w:rPr>
          <w:rFonts w:ascii="Times New Roman" w:hAnsi="Times New Roman" w:cs="Times New Roman"/>
          <w:b/>
          <w:sz w:val="24"/>
        </w:rPr>
        <w:t>Abstract</w:t>
      </w:r>
    </w:p>
    <w:p w:rsidR="00451175" w:rsidRPr="00451175" w:rsidRDefault="00451175" w:rsidP="00451175">
      <w:pPr>
        <w:jc w:val="both"/>
        <w:rPr>
          <w:rFonts w:ascii="Times New Roman" w:hAnsi="Times New Roman" w:cs="Times New Roman"/>
          <w:sz w:val="20"/>
        </w:rPr>
      </w:pPr>
      <w:r w:rsidRPr="00451175">
        <w:rPr>
          <w:rFonts w:ascii="Times New Roman" w:hAnsi="Times New Roman" w:cs="Times New Roman"/>
          <w:b/>
          <w:sz w:val="20"/>
        </w:rPr>
        <w:t>Introduction</w:t>
      </w:r>
      <w:r w:rsidRPr="00451175">
        <w:rPr>
          <w:rFonts w:ascii="Times New Roman" w:hAnsi="Times New Roman" w:cs="Times New Roman"/>
          <w:b/>
          <w:sz w:val="20"/>
        </w:rPr>
        <w:t>:</w:t>
      </w:r>
      <w:r w:rsidRPr="00451175">
        <w:rPr>
          <w:rFonts w:ascii="Times New Roman" w:hAnsi="Times New Roman" w:cs="Times New Roman"/>
          <w:sz w:val="20"/>
        </w:rPr>
        <w:t xml:space="preserve"> </w:t>
      </w:r>
      <w:r w:rsidRPr="00451175">
        <w:rPr>
          <w:rFonts w:ascii="Times New Roman" w:hAnsi="Times New Roman" w:cs="Times New Roman"/>
          <w:sz w:val="20"/>
        </w:rPr>
        <w:t>Dysphagia frequently reveals organic as well as functional esophageal diseases. Endoscopy sometimes shows few signs or even a macroscopically normal esophagus.</w:t>
      </w:r>
    </w:p>
    <w:p w:rsidR="00451175" w:rsidRPr="00451175" w:rsidRDefault="00451175" w:rsidP="00451175">
      <w:pPr>
        <w:jc w:val="both"/>
        <w:rPr>
          <w:rFonts w:ascii="Times New Roman" w:hAnsi="Times New Roman" w:cs="Times New Roman"/>
          <w:sz w:val="20"/>
        </w:rPr>
      </w:pPr>
      <w:r w:rsidRPr="00451175">
        <w:rPr>
          <w:rFonts w:ascii="Times New Roman" w:hAnsi="Times New Roman" w:cs="Times New Roman"/>
          <w:sz w:val="20"/>
        </w:rPr>
        <w:t xml:space="preserve">The aim of our study is to evaluate the importance of systematic esophageal biopsies in patients with dysphagia and normal endoscopy, and report the incidence of </w:t>
      </w:r>
      <w:proofErr w:type="spellStart"/>
      <w:r w:rsidRPr="00451175">
        <w:rPr>
          <w:rFonts w:ascii="Times New Roman" w:hAnsi="Times New Roman" w:cs="Times New Roman"/>
          <w:sz w:val="20"/>
        </w:rPr>
        <w:t>Eosinophilic</w:t>
      </w:r>
      <w:proofErr w:type="spellEnd"/>
      <w:r w:rsidRPr="00451175">
        <w:rPr>
          <w:rFonts w:ascii="Times New Roman" w:hAnsi="Times New Roman" w:cs="Times New Roman"/>
          <w:sz w:val="20"/>
        </w:rPr>
        <w:t xml:space="preserve"> Esophagitis </w:t>
      </w:r>
      <w:r w:rsidRPr="00451175">
        <w:rPr>
          <w:rFonts w:ascii="Times New Roman" w:hAnsi="Times New Roman" w:cs="Times New Roman"/>
          <w:sz w:val="20"/>
        </w:rPr>
        <w:t>(</w:t>
      </w:r>
      <w:proofErr w:type="spellStart"/>
      <w:proofErr w:type="gramStart"/>
      <w:r w:rsidRPr="00451175">
        <w:rPr>
          <w:rFonts w:ascii="Times New Roman" w:hAnsi="Times New Roman" w:cs="Times New Roman"/>
          <w:sz w:val="20"/>
        </w:rPr>
        <w:t>EoE</w:t>
      </w:r>
      <w:proofErr w:type="spellEnd"/>
      <w:proofErr w:type="gramEnd"/>
      <w:r w:rsidRPr="00451175">
        <w:rPr>
          <w:rFonts w:ascii="Times New Roman" w:hAnsi="Times New Roman" w:cs="Times New Roman"/>
          <w:sz w:val="20"/>
        </w:rPr>
        <w:t>) which remains a rare entity.</w:t>
      </w:r>
    </w:p>
    <w:p w:rsidR="00451175" w:rsidRPr="00451175" w:rsidRDefault="00451175" w:rsidP="00451175">
      <w:pPr>
        <w:jc w:val="both"/>
        <w:rPr>
          <w:rFonts w:ascii="Times New Roman" w:hAnsi="Times New Roman" w:cs="Times New Roman"/>
          <w:sz w:val="20"/>
        </w:rPr>
      </w:pPr>
      <w:r w:rsidRPr="00451175">
        <w:rPr>
          <w:rFonts w:ascii="Times New Roman" w:hAnsi="Times New Roman" w:cs="Times New Roman"/>
          <w:b/>
          <w:sz w:val="20"/>
        </w:rPr>
        <w:t>Methods:</w:t>
      </w:r>
      <w:r w:rsidRPr="00451175">
        <w:rPr>
          <w:rFonts w:ascii="Times New Roman" w:hAnsi="Times New Roman" w:cs="Times New Roman"/>
          <w:sz w:val="20"/>
        </w:rPr>
        <w:t xml:space="preserve"> </w:t>
      </w:r>
      <w:r w:rsidRPr="00451175">
        <w:rPr>
          <w:rFonts w:ascii="Times New Roman" w:hAnsi="Times New Roman" w:cs="Times New Roman"/>
          <w:sz w:val="20"/>
        </w:rPr>
        <w:t>Retrospective descriptive study, collecting all patients who had a normal upper endoscopy for dysphagia from June 2018 to June 2021. Esophageal biopsies were realized in all patients.</w:t>
      </w:r>
    </w:p>
    <w:p w:rsidR="00451175" w:rsidRPr="00451175" w:rsidRDefault="00451175" w:rsidP="00451175">
      <w:pPr>
        <w:jc w:val="both"/>
        <w:rPr>
          <w:rFonts w:ascii="Times New Roman" w:hAnsi="Times New Roman" w:cs="Times New Roman"/>
          <w:sz w:val="20"/>
        </w:rPr>
      </w:pPr>
      <w:r w:rsidRPr="00451175">
        <w:rPr>
          <w:rFonts w:ascii="Times New Roman" w:hAnsi="Times New Roman" w:cs="Times New Roman"/>
          <w:b/>
          <w:sz w:val="20"/>
        </w:rPr>
        <w:t>Results:</w:t>
      </w:r>
      <w:r w:rsidRPr="00451175">
        <w:rPr>
          <w:rFonts w:ascii="Times New Roman" w:hAnsi="Times New Roman" w:cs="Times New Roman"/>
          <w:sz w:val="20"/>
        </w:rPr>
        <w:t xml:space="preserve"> </w:t>
      </w:r>
      <w:r w:rsidRPr="00451175">
        <w:rPr>
          <w:rFonts w:ascii="Times New Roman" w:hAnsi="Times New Roman" w:cs="Times New Roman"/>
          <w:sz w:val="20"/>
        </w:rPr>
        <w:t xml:space="preserve">Eighty-five patients (40 men and 45 women) suffering from chronic dysphagia with normal upper endoscopy were studied. The mean age of our patients was 56 years old (13 to 88 years old). Fifteen patients (29.4%) had past medical history: 9 (10.5%) with Cohn's disease, four patients have been treated for a gastro- esophageal reflux by proton pump inhibitors (PPIs), one patient was diagnosed with multiple myeloma and one other patient had </w:t>
      </w:r>
      <w:proofErr w:type="spellStart"/>
      <w:r w:rsidRPr="00451175">
        <w:rPr>
          <w:rFonts w:ascii="Times New Roman" w:hAnsi="Times New Roman" w:cs="Times New Roman"/>
          <w:sz w:val="20"/>
        </w:rPr>
        <w:t>Gougerot-Sjôgren</w:t>
      </w:r>
      <w:proofErr w:type="spellEnd"/>
      <w:r w:rsidRPr="00451175">
        <w:rPr>
          <w:rFonts w:ascii="Times New Roman" w:hAnsi="Times New Roman" w:cs="Times New Roman"/>
          <w:sz w:val="20"/>
        </w:rPr>
        <w:t xml:space="preserve"> syndrome.</w:t>
      </w:r>
    </w:p>
    <w:p w:rsidR="00451175" w:rsidRPr="00451175" w:rsidRDefault="00451175" w:rsidP="00451175">
      <w:pPr>
        <w:jc w:val="both"/>
        <w:rPr>
          <w:rFonts w:ascii="Times New Roman" w:hAnsi="Times New Roman" w:cs="Times New Roman"/>
          <w:sz w:val="20"/>
        </w:rPr>
      </w:pPr>
      <w:r w:rsidRPr="00451175">
        <w:rPr>
          <w:rFonts w:ascii="Times New Roman" w:hAnsi="Times New Roman" w:cs="Times New Roman"/>
          <w:sz w:val="20"/>
        </w:rPr>
        <w:t>All patients had normal-appearing esophagus in upper endoscopy and they all had biopsies of esophagus.</w:t>
      </w:r>
    </w:p>
    <w:p w:rsidR="00451175" w:rsidRPr="00451175" w:rsidRDefault="00451175" w:rsidP="00451175">
      <w:pPr>
        <w:jc w:val="both"/>
        <w:rPr>
          <w:rFonts w:ascii="Times New Roman" w:hAnsi="Times New Roman" w:cs="Times New Roman"/>
          <w:sz w:val="20"/>
        </w:rPr>
      </w:pPr>
      <w:proofErr w:type="spellStart"/>
      <w:r w:rsidRPr="00451175">
        <w:rPr>
          <w:rFonts w:ascii="Times New Roman" w:hAnsi="Times New Roman" w:cs="Times New Roman"/>
          <w:sz w:val="20"/>
        </w:rPr>
        <w:t>Histopathological</w:t>
      </w:r>
      <w:proofErr w:type="spellEnd"/>
      <w:r w:rsidRPr="00451175">
        <w:rPr>
          <w:rFonts w:ascii="Times New Roman" w:hAnsi="Times New Roman" w:cs="Times New Roman"/>
          <w:sz w:val="20"/>
        </w:rPr>
        <w:t xml:space="preserve"> examination revealed normal esophageal mucosa in 65 patients (76%), non-specific esophagitis in eleven cases (12.9%), reflux esophagitis in 4 cases, Barrett's esophagus in one patient, and </w:t>
      </w:r>
      <w:proofErr w:type="spellStart"/>
      <w:r w:rsidRPr="00451175">
        <w:rPr>
          <w:rFonts w:ascii="Times New Roman" w:hAnsi="Times New Roman" w:cs="Times New Roman"/>
          <w:sz w:val="20"/>
        </w:rPr>
        <w:t>eosinophilic</w:t>
      </w:r>
      <w:proofErr w:type="spellEnd"/>
      <w:r w:rsidRPr="00451175">
        <w:rPr>
          <w:rFonts w:ascii="Times New Roman" w:hAnsi="Times New Roman" w:cs="Times New Roman"/>
          <w:sz w:val="20"/>
        </w:rPr>
        <w:t xml:space="preserve"> esophagitis was diagnosed in 4 patients (4.7%) with a good outcome with PPI treatment in 3 cases and topic steroids in 1 patient.</w:t>
      </w:r>
    </w:p>
    <w:p w:rsidR="00451175" w:rsidRDefault="00451175" w:rsidP="00451175">
      <w:pPr>
        <w:jc w:val="both"/>
        <w:rPr>
          <w:rFonts w:ascii="Times New Roman" w:hAnsi="Times New Roman" w:cs="Times New Roman"/>
          <w:sz w:val="20"/>
        </w:rPr>
      </w:pPr>
      <w:r w:rsidRPr="00451175">
        <w:rPr>
          <w:rFonts w:ascii="Times New Roman" w:hAnsi="Times New Roman" w:cs="Times New Roman"/>
          <w:b/>
          <w:sz w:val="20"/>
        </w:rPr>
        <w:t>Conclusion:</w:t>
      </w:r>
      <w:r w:rsidRPr="00451175">
        <w:rPr>
          <w:rFonts w:ascii="Times New Roman" w:hAnsi="Times New Roman" w:cs="Times New Roman"/>
          <w:sz w:val="20"/>
        </w:rPr>
        <w:t xml:space="preserve"> </w:t>
      </w:r>
      <w:r w:rsidRPr="00451175">
        <w:rPr>
          <w:rFonts w:ascii="Times New Roman" w:hAnsi="Times New Roman" w:cs="Times New Roman"/>
          <w:sz w:val="20"/>
        </w:rPr>
        <w:t xml:space="preserve">Our study shows the importance of systematic biopsies in normal esophagus in case of dysphagia as they may enable us to diagnose some rare diseases like </w:t>
      </w:r>
      <w:proofErr w:type="spellStart"/>
      <w:r w:rsidRPr="00451175">
        <w:rPr>
          <w:rFonts w:ascii="Times New Roman" w:hAnsi="Times New Roman" w:cs="Times New Roman"/>
          <w:sz w:val="20"/>
        </w:rPr>
        <w:t>eosinophilic</w:t>
      </w:r>
      <w:proofErr w:type="spellEnd"/>
      <w:r w:rsidRPr="00451175">
        <w:rPr>
          <w:rFonts w:ascii="Times New Roman" w:hAnsi="Times New Roman" w:cs="Times New Roman"/>
          <w:sz w:val="20"/>
        </w:rPr>
        <w:t xml:space="preserve"> esophagitis which can be successfully treated, so that we can avoid many unnecessary costly explorations like </w:t>
      </w:r>
      <w:proofErr w:type="spellStart"/>
      <w:r w:rsidRPr="00451175">
        <w:rPr>
          <w:rFonts w:ascii="Times New Roman" w:hAnsi="Times New Roman" w:cs="Times New Roman"/>
          <w:sz w:val="20"/>
        </w:rPr>
        <w:t>manometry</w:t>
      </w:r>
      <w:proofErr w:type="spellEnd"/>
      <w:r w:rsidRPr="00451175">
        <w:rPr>
          <w:rFonts w:ascii="Times New Roman" w:hAnsi="Times New Roman" w:cs="Times New Roman"/>
          <w:sz w:val="20"/>
        </w:rPr>
        <w:t>. Further studies are to be conducted to confirm the cost effectiveness of systematic biopsies.</w:t>
      </w:r>
    </w:p>
    <w:p w:rsidR="00451175" w:rsidRPr="00451175" w:rsidRDefault="00451175" w:rsidP="00451175">
      <w:pPr>
        <w:rPr>
          <w:rFonts w:ascii="Times New Roman" w:hAnsi="Times New Roman" w:cs="Times New Roman"/>
          <w:sz w:val="20"/>
        </w:rPr>
      </w:pPr>
      <w:commentRangeStart w:id="0"/>
      <w:r w:rsidRPr="00451175">
        <w:rPr>
          <w:rFonts w:ascii="Times New Roman" w:hAnsi="Times New Roman" w:cs="Times New Roman"/>
          <w:b/>
          <w:sz w:val="24"/>
        </w:rPr>
        <w:t>Biography</w:t>
      </w:r>
      <w:commentRangeEnd w:id="0"/>
      <w:r>
        <w:rPr>
          <w:rStyle w:val="CommentReference"/>
        </w:rPr>
        <w:commentReference w:id="0"/>
      </w:r>
      <w:bookmarkStart w:id="1" w:name="_GoBack"/>
      <w:bookmarkEnd w:id="1"/>
    </w:p>
    <w:sectPr w:rsidR="00451175" w:rsidRPr="0045117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0-10T19:03:00Z" w:initials="SS">
    <w:p w:rsidR="00451175" w:rsidRDefault="00451175">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175"/>
    <w:rsid w:val="00451175"/>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51175"/>
    <w:rPr>
      <w:sz w:val="16"/>
      <w:szCs w:val="16"/>
    </w:rPr>
  </w:style>
  <w:style w:type="paragraph" w:styleId="CommentText">
    <w:name w:val="annotation text"/>
    <w:basedOn w:val="Normal"/>
    <w:link w:val="CommentTextChar"/>
    <w:uiPriority w:val="99"/>
    <w:semiHidden/>
    <w:unhideWhenUsed/>
    <w:rsid w:val="00451175"/>
    <w:pPr>
      <w:spacing w:line="240" w:lineRule="auto"/>
    </w:pPr>
    <w:rPr>
      <w:sz w:val="20"/>
      <w:szCs w:val="20"/>
    </w:rPr>
  </w:style>
  <w:style w:type="character" w:customStyle="1" w:styleId="CommentTextChar">
    <w:name w:val="Comment Text Char"/>
    <w:basedOn w:val="DefaultParagraphFont"/>
    <w:link w:val="CommentText"/>
    <w:uiPriority w:val="99"/>
    <w:semiHidden/>
    <w:rsid w:val="00451175"/>
    <w:rPr>
      <w:sz w:val="20"/>
      <w:szCs w:val="20"/>
    </w:rPr>
  </w:style>
  <w:style w:type="paragraph" w:styleId="CommentSubject">
    <w:name w:val="annotation subject"/>
    <w:basedOn w:val="CommentText"/>
    <w:next w:val="CommentText"/>
    <w:link w:val="CommentSubjectChar"/>
    <w:uiPriority w:val="99"/>
    <w:semiHidden/>
    <w:unhideWhenUsed/>
    <w:rsid w:val="00451175"/>
    <w:rPr>
      <w:b/>
      <w:bCs/>
    </w:rPr>
  </w:style>
  <w:style w:type="character" w:customStyle="1" w:styleId="CommentSubjectChar">
    <w:name w:val="Comment Subject Char"/>
    <w:basedOn w:val="CommentTextChar"/>
    <w:link w:val="CommentSubject"/>
    <w:uiPriority w:val="99"/>
    <w:semiHidden/>
    <w:rsid w:val="00451175"/>
    <w:rPr>
      <w:b/>
      <w:bCs/>
      <w:sz w:val="20"/>
      <w:szCs w:val="20"/>
    </w:rPr>
  </w:style>
  <w:style w:type="paragraph" w:styleId="BalloonText">
    <w:name w:val="Balloon Text"/>
    <w:basedOn w:val="Normal"/>
    <w:link w:val="BalloonTextChar"/>
    <w:uiPriority w:val="99"/>
    <w:semiHidden/>
    <w:unhideWhenUsed/>
    <w:rsid w:val="004511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11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51175"/>
    <w:rPr>
      <w:sz w:val="16"/>
      <w:szCs w:val="16"/>
    </w:rPr>
  </w:style>
  <w:style w:type="paragraph" w:styleId="CommentText">
    <w:name w:val="annotation text"/>
    <w:basedOn w:val="Normal"/>
    <w:link w:val="CommentTextChar"/>
    <w:uiPriority w:val="99"/>
    <w:semiHidden/>
    <w:unhideWhenUsed/>
    <w:rsid w:val="00451175"/>
    <w:pPr>
      <w:spacing w:line="240" w:lineRule="auto"/>
    </w:pPr>
    <w:rPr>
      <w:sz w:val="20"/>
      <w:szCs w:val="20"/>
    </w:rPr>
  </w:style>
  <w:style w:type="character" w:customStyle="1" w:styleId="CommentTextChar">
    <w:name w:val="Comment Text Char"/>
    <w:basedOn w:val="DefaultParagraphFont"/>
    <w:link w:val="CommentText"/>
    <w:uiPriority w:val="99"/>
    <w:semiHidden/>
    <w:rsid w:val="00451175"/>
    <w:rPr>
      <w:sz w:val="20"/>
      <w:szCs w:val="20"/>
    </w:rPr>
  </w:style>
  <w:style w:type="paragraph" w:styleId="CommentSubject">
    <w:name w:val="annotation subject"/>
    <w:basedOn w:val="CommentText"/>
    <w:next w:val="CommentText"/>
    <w:link w:val="CommentSubjectChar"/>
    <w:uiPriority w:val="99"/>
    <w:semiHidden/>
    <w:unhideWhenUsed/>
    <w:rsid w:val="00451175"/>
    <w:rPr>
      <w:b/>
      <w:bCs/>
    </w:rPr>
  </w:style>
  <w:style w:type="character" w:customStyle="1" w:styleId="CommentSubjectChar">
    <w:name w:val="Comment Subject Char"/>
    <w:basedOn w:val="CommentTextChar"/>
    <w:link w:val="CommentSubject"/>
    <w:uiPriority w:val="99"/>
    <w:semiHidden/>
    <w:rsid w:val="00451175"/>
    <w:rPr>
      <w:b/>
      <w:bCs/>
      <w:sz w:val="20"/>
      <w:szCs w:val="20"/>
    </w:rPr>
  </w:style>
  <w:style w:type="paragraph" w:styleId="BalloonText">
    <w:name w:val="Balloon Text"/>
    <w:basedOn w:val="Normal"/>
    <w:link w:val="BalloonTextChar"/>
    <w:uiPriority w:val="99"/>
    <w:semiHidden/>
    <w:unhideWhenUsed/>
    <w:rsid w:val="004511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11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323</Words>
  <Characters>1846</Characters>
  <Application>Microsoft Office Word</Application>
  <DocSecurity>0</DocSecurity>
  <Lines>15</Lines>
  <Paragraphs>4</Paragraphs>
  <ScaleCrop>false</ScaleCrop>
  <Company/>
  <LinksUpToDate>false</LinksUpToDate>
  <CharactersWithSpaces>2165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2022-10-10T13:25:00Z</dcterms:created>
  <dcterms:modified xsi:type="dcterms:W3CDTF">2022-10-10T13:34:00Z</dcterms:modified>
</cp:coreProperties>
</file>