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FCF" w:rsidRPr="008042F0" w:rsidRDefault="001904AC" w:rsidP="008042F0">
      <w:pPr>
        <w:spacing w:line="276" w:lineRule="auto"/>
        <w:rPr>
          <w:rFonts w:ascii="Times New Roman" w:hAnsi="Times New Roman" w:cs="Times New Roman"/>
          <w:b/>
          <w:sz w:val="32"/>
        </w:rPr>
      </w:pPr>
      <w:bookmarkStart w:id="0" w:name="_GoBack"/>
      <w:r w:rsidRPr="008042F0">
        <w:rPr>
          <w:rFonts w:ascii="Times New Roman" w:hAnsi="Times New Roman" w:cs="Times New Roman"/>
          <w:b/>
          <w:sz w:val="32"/>
        </w:rPr>
        <w:t xml:space="preserve">The residual exposed endplate ratio is predictive of heterotopic ossification after cervical </w:t>
      </w:r>
      <w:r w:rsidR="008042F0" w:rsidRPr="008042F0">
        <w:rPr>
          <w:rFonts w:ascii="Times New Roman" w:hAnsi="Times New Roman" w:cs="Times New Roman"/>
          <w:b/>
          <w:sz w:val="32"/>
        </w:rPr>
        <w:t xml:space="preserve">Bryan </w:t>
      </w:r>
      <w:r w:rsidRPr="008042F0">
        <w:rPr>
          <w:rFonts w:ascii="Times New Roman" w:hAnsi="Times New Roman" w:cs="Times New Roman"/>
          <w:b/>
          <w:sz w:val="32"/>
        </w:rPr>
        <w:t xml:space="preserve">disc </w:t>
      </w:r>
      <w:proofErr w:type="spellStart"/>
      <w:r w:rsidRPr="008042F0">
        <w:rPr>
          <w:rFonts w:ascii="Times New Roman" w:hAnsi="Times New Roman" w:cs="Times New Roman"/>
          <w:b/>
          <w:sz w:val="32"/>
        </w:rPr>
        <w:t>arthroplasty</w:t>
      </w:r>
      <w:proofErr w:type="spellEnd"/>
    </w:p>
    <w:p w:rsidR="001904AC" w:rsidRPr="008042F0" w:rsidRDefault="008042F0" w:rsidP="008042F0">
      <w:pPr>
        <w:spacing w:line="276" w:lineRule="auto"/>
        <w:rPr>
          <w:rFonts w:ascii="Times New Roman" w:hAnsi="Times New Roman" w:cs="Times New Roman"/>
          <w:sz w:val="24"/>
        </w:rPr>
      </w:pPr>
      <w:hyperlink r:id="rId5">
        <w:proofErr w:type="spellStart"/>
        <w:r w:rsidR="001904AC" w:rsidRPr="008042F0">
          <w:rPr>
            <w:rStyle w:val="Hyperlink"/>
            <w:rFonts w:ascii="Times New Roman" w:hAnsi="Times New Roman" w:cs="Times New Roman"/>
            <w:color w:val="auto"/>
            <w:sz w:val="24"/>
            <w:u w:val="none"/>
          </w:rPr>
          <w:t>Chih</w:t>
        </w:r>
        <w:proofErr w:type="spellEnd"/>
        <w:r w:rsidR="001904AC" w:rsidRPr="008042F0">
          <w:rPr>
            <w:rStyle w:val="Hyperlink"/>
            <w:rFonts w:ascii="Times New Roman" w:hAnsi="Times New Roman" w:cs="Times New Roman"/>
            <w:color w:val="auto"/>
            <w:sz w:val="24"/>
            <w:u w:val="none"/>
          </w:rPr>
          <w:t>-Wei Huang</w:t>
        </w:r>
      </w:hyperlink>
    </w:p>
    <w:p w:rsidR="001904AC" w:rsidRPr="008042F0" w:rsidRDefault="008042F0" w:rsidP="008042F0">
      <w:pPr>
        <w:spacing w:line="276" w:lineRule="auto"/>
        <w:rPr>
          <w:rFonts w:ascii="Times New Roman" w:hAnsi="Times New Roman" w:cs="Times New Roman"/>
          <w:sz w:val="22"/>
          <w:highlight w:val="white"/>
        </w:rPr>
      </w:pPr>
      <w:r w:rsidRPr="008042F0">
        <w:rPr>
          <w:rFonts w:ascii="Times New Roman" w:hAnsi="Times New Roman" w:cs="Times New Roman"/>
          <w:sz w:val="22"/>
        </w:rPr>
        <w:t>National Central Universit</w:t>
      </w:r>
      <w:r>
        <w:rPr>
          <w:rFonts w:ascii="Times New Roman" w:hAnsi="Times New Roman" w:cs="Times New Roman"/>
          <w:sz w:val="22"/>
        </w:rPr>
        <w:t>y</w:t>
      </w:r>
      <w:r w:rsidR="001904AC" w:rsidRPr="008042F0">
        <w:rPr>
          <w:rFonts w:ascii="Times New Roman" w:hAnsi="Times New Roman" w:cs="Times New Roman"/>
          <w:sz w:val="22"/>
          <w:highlight w:val="white"/>
        </w:rPr>
        <w:t>, Taiwan</w:t>
      </w:r>
    </w:p>
    <w:p w:rsidR="001904AC" w:rsidRPr="008042F0" w:rsidRDefault="001904AC" w:rsidP="008042F0">
      <w:pPr>
        <w:spacing w:line="276" w:lineRule="auto"/>
        <w:jc w:val="center"/>
        <w:rPr>
          <w:rFonts w:ascii="Times New Roman" w:hAnsi="Times New Roman" w:cs="Times New Roman"/>
          <w:b/>
          <w:sz w:val="24"/>
        </w:rPr>
      </w:pPr>
      <w:r w:rsidRPr="008042F0">
        <w:rPr>
          <w:rFonts w:ascii="Times New Roman" w:hAnsi="Times New Roman" w:cs="Times New Roman"/>
          <w:b/>
          <w:sz w:val="24"/>
        </w:rPr>
        <w:t>Abstract</w:t>
      </w:r>
    </w:p>
    <w:p w:rsidR="001904AC" w:rsidRPr="008042F0" w:rsidRDefault="001904AC" w:rsidP="008042F0">
      <w:pPr>
        <w:spacing w:line="276" w:lineRule="auto"/>
        <w:jc w:val="both"/>
        <w:rPr>
          <w:rFonts w:ascii="Times New Roman" w:hAnsi="Times New Roman" w:cs="Times New Roman"/>
          <w:sz w:val="20"/>
        </w:rPr>
      </w:pPr>
      <w:r w:rsidRPr="008042F0">
        <w:rPr>
          <w:rFonts w:ascii="Times New Roman" w:hAnsi="Times New Roman" w:cs="Times New Roman"/>
          <w:sz w:val="20"/>
        </w:rPr>
        <w:t xml:space="preserve">Cervical </w:t>
      </w:r>
      <w:r w:rsidR="008042F0" w:rsidRPr="008042F0">
        <w:rPr>
          <w:rFonts w:ascii="Times New Roman" w:hAnsi="Times New Roman" w:cs="Times New Roman"/>
          <w:sz w:val="20"/>
        </w:rPr>
        <w:t xml:space="preserve">Disc </w:t>
      </w:r>
      <w:proofErr w:type="spellStart"/>
      <w:r w:rsidR="008042F0" w:rsidRPr="008042F0">
        <w:rPr>
          <w:rFonts w:ascii="Times New Roman" w:hAnsi="Times New Roman" w:cs="Times New Roman"/>
          <w:sz w:val="20"/>
        </w:rPr>
        <w:t>Arthroplasty</w:t>
      </w:r>
      <w:proofErr w:type="spellEnd"/>
      <w:r w:rsidR="008042F0" w:rsidRPr="008042F0">
        <w:rPr>
          <w:rFonts w:ascii="Times New Roman" w:hAnsi="Times New Roman" w:cs="Times New Roman"/>
          <w:sz w:val="20"/>
        </w:rPr>
        <w:t xml:space="preserve"> </w:t>
      </w:r>
      <w:r w:rsidRPr="008042F0">
        <w:rPr>
          <w:rFonts w:ascii="Times New Roman" w:hAnsi="Times New Roman" w:cs="Times New Roman"/>
          <w:sz w:val="20"/>
        </w:rPr>
        <w:t xml:space="preserve">(CDA) has been used as an alternative </w:t>
      </w:r>
      <w:sdt>
        <w:sdtPr>
          <w:rPr>
            <w:rFonts w:ascii="Times New Roman" w:hAnsi="Times New Roman" w:cs="Times New Roman"/>
            <w:sz w:val="20"/>
          </w:rPr>
          <w:tag w:val="goog_rdk_14"/>
          <w:id w:val="2016256494"/>
        </w:sdtPr>
        <w:sdtEndPr/>
        <w:sdtContent>
          <w:r w:rsidRPr="008042F0">
            <w:rPr>
              <w:rFonts w:ascii="Times New Roman" w:hAnsi="Times New Roman" w:cs="Times New Roman"/>
              <w:sz w:val="20"/>
            </w:rPr>
            <w:t xml:space="preserve">treatment </w:t>
          </w:r>
        </w:sdtContent>
      </w:sdt>
      <w:r w:rsidRPr="008042F0">
        <w:rPr>
          <w:rFonts w:ascii="Times New Roman" w:hAnsi="Times New Roman" w:cs="Times New Roman"/>
          <w:sz w:val="20"/>
        </w:rPr>
        <w:t xml:space="preserve">to traditional arthrodesis to maintain postoperative cervical spine mobility when treating cervical spine diseases such as herniated disc with degenerative change. However, the success of </w:t>
      </w:r>
      <w:sdt>
        <w:sdtPr>
          <w:rPr>
            <w:rFonts w:ascii="Times New Roman" w:hAnsi="Times New Roman" w:cs="Times New Roman"/>
            <w:sz w:val="20"/>
          </w:rPr>
          <w:tag w:val="goog_rdk_16"/>
          <w:id w:val="-1998874841"/>
        </w:sdtPr>
        <w:sdtEndPr/>
        <w:sdtContent>
          <w:r w:rsidRPr="008042F0">
            <w:rPr>
              <w:rFonts w:ascii="Times New Roman" w:hAnsi="Times New Roman" w:cs="Times New Roman"/>
              <w:sz w:val="20"/>
              <w:highlight w:val="white"/>
            </w:rPr>
            <w:t>CDA</w:t>
          </w:r>
        </w:sdtContent>
      </w:sdt>
      <w:r w:rsidRPr="008042F0">
        <w:rPr>
          <w:rFonts w:ascii="Times New Roman" w:hAnsi="Times New Roman" w:cs="Times New Roman"/>
          <w:sz w:val="20"/>
          <w:highlight w:val="white"/>
        </w:rPr>
        <w:t xml:space="preserve"> is </w:t>
      </w:r>
      <w:r w:rsidRPr="008042F0">
        <w:rPr>
          <w:rFonts w:ascii="Times New Roman" w:hAnsi="Times New Roman" w:cs="Times New Roman"/>
          <w:sz w:val="20"/>
        </w:rPr>
        <w:t xml:space="preserve">impacted by many unfavorable conditions such as </w:t>
      </w:r>
      <w:r w:rsidR="008042F0" w:rsidRPr="008042F0">
        <w:rPr>
          <w:rFonts w:ascii="Times New Roman" w:hAnsi="Times New Roman" w:cs="Times New Roman"/>
          <w:sz w:val="20"/>
        </w:rPr>
        <w:t xml:space="preserve">Heterotopic Ossification </w:t>
      </w:r>
      <w:r w:rsidRPr="008042F0">
        <w:rPr>
          <w:rFonts w:ascii="Times New Roman" w:hAnsi="Times New Roman" w:cs="Times New Roman"/>
          <w:sz w:val="20"/>
        </w:rPr>
        <w:t>(HO), metalloids, anterior bone loss, subsidence, or bone/implant loosening.</w:t>
      </w:r>
      <w:r w:rsidR="008042F0">
        <w:rPr>
          <w:rFonts w:ascii="Times New Roman" w:hAnsi="Times New Roman" w:cs="Times New Roman"/>
          <w:sz w:val="20"/>
        </w:rPr>
        <w:t xml:space="preserve"> </w:t>
      </w:r>
      <w:r w:rsidRPr="008042F0">
        <w:rPr>
          <w:rFonts w:ascii="Times New Roman" w:hAnsi="Times New Roman" w:cs="Times New Roman"/>
          <w:sz w:val="20"/>
        </w:rPr>
        <w:t xml:space="preserve">HO is reported as a major cause of artificial disc dysfunction. HO after CDA has been studied for &gt;10 years since it was sporadically reported in the 2000s. HO development after CDA surgery may restrict the range of motion around the replacement site and hinder joint mobility in patients, being a potential complication of CDA, is reportedly a major cause of postoperative artificial disc dysfunction. Residual </w:t>
      </w:r>
      <w:r w:rsidR="008042F0" w:rsidRPr="008042F0">
        <w:rPr>
          <w:rFonts w:ascii="Times New Roman" w:hAnsi="Times New Roman" w:cs="Times New Roman"/>
          <w:sz w:val="20"/>
        </w:rPr>
        <w:t xml:space="preserve">Exposed Endplate </w:t>
      </w:r>
      <w:r w:rsidRPr="008042F0">
        <w:rPr>
          <w:rFonts w:ascii="Times New Roman" w:hAnsi="Times New Roman" w:cs="Times New Roman"/>
          <w:sz w:val="20"/>
        </w:rPr>
        <w:t>(REE) is one possible reason for HO development after Bryan CDA. We did a retrospective study investigated the relationship between the</w:t>
      </w:r>
      <w:sdt>
        <w:sdtPr>
          <w:rPr>
            <w:rFonts w:ascii="Times New Roman" w:hAnsi="Times New Roman" w:cs="Times New Roman"/>
            <w:sz w:val="20"/>
          </w:rPr>
          <w:tag w:val="goog_rdk_3"/>
          <w:id w:val="1813826367"/>
        </w:sdtPr>
        <w:sdtEndPr/>
        <w:sdtContent>
          <w:r w:rsidRPr="008042F0">
            <w:rPr>
              <w:rFonts w:ascii="Times New Roman" w:hAnsi="Times New Roman" w:cs="Times New Roman"/>
              <w:sz w:val="20"/>
            </w:rPr>
            <w:t xml:space="preserve"> REE </w:t>
          </w:r>
        </w:sdtContent>
      </w:sdt>
      <w:r w:rsidRPr="008042F0">
        <w:rPr>
          <w:rFonts w:ascii="Times New Roman" w:hAnsi="Times New Roman" w:cs="Times New Roman"/>
          <w:sz w:val="20"/>
        </w:rPr>
        <w:t xml:space="preserve">ratio and HO formation after Bryan CDA. The aim of this study was to determine the cut value of the REE ratio, to predict the development of HO after Bryan CDA based on radiographic analysis Of 249 patients with 384 surgical levels who underwent Bryan CDA during the study period, 114 (45.8%) received one-level CDA and 135 (54.2%) received two-level CDA. Lateral radiographs showed that 169 implants (44%) had posterior HOs in all grades after two years or more of follow up and 14 implants (3.65%) had severe HO (McAfee grades 3 and 4). </w:t>
      </w:r>
    </w:p>
    <w:p w:rsidR="001904AC" w:rsidRPr="008042F0" w:rsidRDefault="008042F0" w:rsidP="008042F0">
      <w:pPr>
        <w:spacing w:line="276" w:lineRule="auto"/>
        <w:jc w:val="both"/>
        <w:rPr>
          <w:rFonts w:ascii="Times New Roman" w:hAnsi="Times New Roman" w:cs="Times New Roman"/>
          <w:sz w:val="20"/>
        </w:rPr>
      </w:pPr>
      <w:r w:rsidRPr="008042F0">
        <w:rPr>
          <w:rFonts w:ascii="Times New Roman" w:hAnsi="Times New Roman" w:cs="Times New Roman"/>
          <w:b/>
          <w:sz w:val="20"/>
        </w:rPr>
        <w:t>Conclusion:</w:t>
      </w:r>
      <w:r>
        <w:rPr>
          <w:rFonts w:ascii="Times New Roman" w:hAnsi="Times New Roman" w:cs="Times New Roman"/>
          <w:sz w:val="20"/>
        </w:rPr>
        <w:t xml:space="preserve"> </w:t>
      </w:r>
      <w:r w:rsidR="001904AC" w:rsidRPr="008042F0">
        <w:rPr>
          <w:rFonts w:ascii="Times New Roman" w:hAnsi="Times New Roman" w:cs="Times New Roman"/>
          <w:sz w:val="20"/>
        </w:rPr>
        <w:t xml:space="preserve">REE is highly correlated with the development of postoperative HO, regardless of the level of implantation. An undersized implant causing a REE ratio &gt;9% is a predictor of postoperative HO formation </w:t>
      </w:r>
      <w:bookmarkStart w:id="1" w:name="_Hlk76241155"/>
      <w:r w:rsidR="001904AC" w:rsidRPr="008042F0">
        <w:rPr>
          <w:rFonts w:ascii="Times New Roman" w:hAnsi="Times New Roman" w:cs="Times New Roman"/>
          <w:sz w:val="20"/>
        </w:rPr>
        <w:t>after cervical Bryan CDA.</w:t>
      </w:r>
      <w:bookmarkEnd w:id="1"/>
    </w:p>
    <w:p w:rsidR="001904AC" w:rsidRPr="008042F0" w:rsidRDefault="008042F0" w:rsidP="008042F0">
      <w:pPr>
        <w:spacing w:line="276" w:lineRule="auto"/>
        <w:rPr>
          <w:rFonts w:ascii="Times New Roman" w:hAnsi="Times New Roman" w:cs="Times New Roman"/>
          <w:b/>
          <w:sz w:val="24"/>
        </w:rPr>
      </w:pPr>
      <w:r w:rsidRPr="008042F0">
        <w:rPr>
          <w:rFonts w:ascii="Times New Roman" w:hAnsi="Times New Roman" w:cs="Times New Roman"/>
          <w:b/>
          <w:sz w:val="24"/>
        </w:rPr>
        <w:t xml:space="preserve">Biography </w:t>
      </w:r>
    </w:p>
    <w:p w:rsidR="001904AC" w:rsidRPr="008042F0" w:rsidRDefault="008042F0" w:rsidP="008042F0">
      <w:pPr>
        <w:spacing w:line="276" w:lineRule="auto"/>
        <w:jc w:val="both"/>
        <w:rPr>
          <w:rFonts w:ascii="Times New Roman" w:hAnsi="Times New Roman" w:cs="Times New Roman"/>
          <w:sz w:val="24"/>
        </w:rPr>
      </w:pPr>
      <w:hyperlink r:id="rId6">
        <w:proofErr w:type="spellStart"/>
        <w:r w:rsidR="001904AC" w:rsidRPr="008042F0">
          <w:rPr>
            <w:rStyle w:val="Hyperlink"/>
            <w:rFonts w:ascii="Times New Roman" w:hAnsi="Times New Roman" w:cs="Times New Roman"/>
            <w:color w:val="auto"/>
            <w:sz w:val="20"/>
            <w:u w:val="none"/>
          </w:rPr>
          <w:t>Chih</w:t>
        </w:r>
        <w:proofErr w:type="spellEnd"/>
        <w:r w:rsidR="001904AC" w:rsidRPr="008042F0">
          <w:rPr>
            <w:rStyle w:val="Hyperlink"/>
            <w:rFonts w:ascii="Times New Roman" w:hAnsi="Times New Roman" w:cs="Times New Roman"/>
            <w:color w:val="auto"/>
            <w:sz w:val="20"/>
            <w:u w:val="none"/>
          </w:rPr>
          <w:t>-Wei Huang</w:t>
        </w:r>
      </w:hyperlink>
      <w:r w:rsidR="001904AC" w:rsidRPr="008042F0">
        <w:rPr>
          <w:rFonts w:ascii="Times New Roman" w:hAnsi="Times New Roman" w:cs="Times New Roman"/>
          <w:sz w:val="20"/>
        </w:rPr>
        <w:t xml:space="preserve"> </w:t>
      </w:r>
      <w:r w:rsidRPr="008042F0">
        <w:rPr>
          <w:rFonts w:ascii="Times New Roman" w:hAnsi="Times New Roman" w:cs="Times New Roman"/>
          <w:sz w:val="20"/>
        </w:rPr>
        <w:t>has</w:t>
      </w:r>
      <w:r w:rsidR="001904AC" w:rsidRPr="008042F0">
        <w:rPr>
          <w:rFonts w:ascii="Times New Roman" w:hAnsi="Times New Roman" w:cs="Times New Roman"/>
          <w:sz w:val="20"/>
        </w:rPr>
        <w:t xml:space="preserve"> been with the Department of Communication Engineering at National Central University since 2010 and currently an associate professor. </w:t>
      </w:r>
      <w:hyperlink r:id="rId7">
        <w:r>
          <w:rPr>
            <w:rStyle w:val="Hyperlink"/>
            <w:rFonts w:ascii="Times New Roman" w:hAnsi="Times New Roman" w:cs="Times New Roman"/>
            <w:color w:val="auto"/>
            <w:sz w:val="20"/>
            <w:u w:val="none"/>
          </w:rPr>
          <w:t>He</w:t>
        </w:r>
      </w:hyperlink>
      <w:r>
        <w:rPr>
          <w:rFonts w:ascii="Times New Roman" w:hAnsi="Times New Roman" w:cs="Times New Roman"/>
          <w:sz w:val="20"/>
        </w:rPr>
        <w:t xml:space="preserve"> completed PhD</w:t>
      </w:r>
      <w:r w:rsidR="001904AC" w:rsidRPr="008042F0">
        <w:rPr>
          <w:rFonts w:ascii="Times New Roman" w:hAnsi="Times New Roman" w:cs="Times New Roman"/>
          <w:sz w:val="20"/>
        </w:rPr>
        <w:t xml:space="preserve"> at University of Washington, Seattle, in 2009 on cross-layer resource management for multimedia over wireless networks. From 2006 to 2009, </w:t>
      </w:r>
      <w:hyperlink r:id="rId8">
        <w:r>
          <w:rPr>
            <w:rStyle w:val="Hyperlink"/>
            <w:rFonts w:ascii="Times New Roman" w:hAnsi="Times New Roman" w:cs="Times New Roman"/>
            <w:color w:val="auto"/>
            <w:sz w:val="20"/>
            <w:u w:val="none"/>
          </w:rPr>
          <w:t>he</w:t>
        </w:r>
      </w:hyperlink>
      <w:r w:rsidR="001E284C" w:rsidRPr="008042F0">
        <w:rPr>
          <w:rFonts w:ascii="Times New Roman" w:hAnsi="Times New Roman" w:cs="Times New Roman"/>
          <w:sz w:val="20"/>
        </w:rPr>
        <w:t xml:space="preserve"> </w:t>
      </w:r>
      <w:r w:rsidR="001904AC" w:rsidRPr="008042F0">
        <w:rPr>
          <w:rFonts w:ascii="Times New Roman" w:hAnsi="Times New Roman" w:cs="Times New Roman"/>
          <w:sz w:val="20"/>
        </w:rPr>
        <w:t>was intern researcher in Siemens Corporate Research and Microsoft Research.</w:t>
      </w:r>
      <w:r w:rsidR="001E284C" w:rsidRPr="008042F0">
        <w:rPr>
          <w:rFonts w:ascii="Times New Roman" w:hAnsi="Times New Roman" w:cs="Times New Roman"/>
          <w:sz w:val="20"/>
        </w:rPr>
        <w:t xml:space="preserve"> </w:t>
      </w:r>
      <w:hyperlink r:id="rId9">
        <w:r>
          <w:rPr>
            <w:rStyle w:val="Hyperlink"/>
            <w:rFonts w:ascii="Times New Roman" w:hAnsi="Times New Roman" w:cs="Times New Roman"/>
            <w:color w:val="auto"/>
            <w:sz w:val="20"/>
            <w:u w:val="none"/>
          </w:rPr>
          <w:t>He</w:t>
        </w:r>
      </w:hyperlink>
      <w:r w:rsidR="001E284C" w:rsidRPr="008042F0">
        <w:rPr>
          <w:rFonts w:ascii="Times New Roman" w:hAnsi="Times New Roman" w:cs="Times New Roman"/>
          <w:sz w:val="20"/>
        </w:rPr>
        <w:t xml:space="preserve"> </w:t>
      </w:r>
      <w:r w:rsidR="001904AC" w:rsidRPr="008042F0">
        <w:rPr>
          <w:rFonts w:ascii="Times New Roman" w:hAnsi="Times New Roman" w:cs="Times New Roman"/>
          <w:sz w:val="20"/>
        </w:rPr>
        <w:t>received an M.S. degree from Columbia University and a B.S. from National Taiwan University all in Electrical Engineering.</w:t>
      </w:r>
      <w:bookmarkEnd w:id="0"/>
    </w:p>
    <w:sectPr w:rsidR="001904AC" w:rsidRPr="00804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AC"/>
    <w:rsid w:val="001904AC"/>
    <w:rsid w:val="001E284C"/>
    <w:rsid w:val="004B6FCF"/>
    <w:rsid w:val="00804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4AC"/>
    <w:pPr>
      <w:spacing w:after="200" w:line="288" w:lineRule="auto"/>
    </w:pPr>
    <w:rPr>
      <w:rFonts w:eastAsiaTheme="minorEastAsia"/>
      <w:iCs/>
      <w:sz w:val="21"/>
      <w:szCs w:val="21"/>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04AC"/>
    <w:rPr>
      <w:color w:val="0563C1" w:themeColor="hyperlink"/>
      <w:u w:val="single"/>
    </w:rPr>
  </w:style>
  <w:style w:type="paragraph" w:customStyle="1" w:styleId="EndNoteBibliography">
    <w:name w:val="EndNote Bibliography"/>
    <w:basedOn w:val="Normal"/>
    <w:link w:val="EndNoteBibliography0"/>
    <w:rsid w:val="001904AC"/>
    <w:pPr>
      <w:spacing w:line="480" w:lineRule="auto"/>
    </w:pPr>
    <w:rPr>
      <w:rFonts w:ascii="Times New Roman" w:hAnsi="Times New Roman" w:cs="Times New Roman"/>
      <w:noProof/>
    </w:rPr>
  </w:style>
  <w:style w:type="character" w:customStyle="1" w:styleId="EndNoteBibliography0">
    <w:name w:val="EndNote Bibliography 字元"/>
    <w:basedOn w:val="DefaultParagraphFont"/>
    <w:link w:val="EndNoteBibliography"/>
    <w:rsid w:val="001904AC"/>
    <w:rPr>
      <w:rFonts w:ascii="Times New Roman" w:eastAsiaTheme="minorEastAsia" w:hAnsi="Times New Roman" w:cs="Times New Roman"/>
      <w:iCs/>
      <w:noProof/>
      <w:sz w:val="21"/>
      <w:szCs w:val="21"/>
      <w:lang w:eastAsia="zh-TW"/>
    </w:rPr>
  </w:style>
  <w:style w:type="paragraph" w:styleId="NoSpacing">
    <w:name w:val="No Spacing"/>
    <w:uiPriority w:val="1"/>
    <w:qFormat/>
    <w:rsid w:val="001904AC"/>
    <w:pPr>
      <w:spacing w:after="0" w:line="240" w:lineRule="auto"/>
    </w:pPr>
    <w:rPr>
      <w:rFonts w:eastAsiaTheme="minorEastAsia"/>
      <w:iCs/>
      <w:sz w:val="21"/>
      <w:szCs w:val="21"/>
      <w:lang w:eastAsia="zh-TW"/>
    </w:rPr>
  </w:style>
  <w:style w:type="paragraph" w:styleId="BalloonText">
    <w:name w:val="Balloon Text"/>
    <w:basedOn w:val="Normal"/>
    <w:link w:val="BalloonTextChar"/>
    <w:uiPriority w:val="99"/>
    <w:semiHidden/>
    <w:unhideWhenUsed/>
    <w:rsid w:val="00804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2F0"/>
    <w:rPr>
      <w:rFonts w:ascii="Tahoma" w:eastAsiaTheme="minorEastAsia" w:hAnsi="Tahoma" w:cs="Tahoma"/>
      <w:iCs/>
      <w:sz w:val="16"/>
      <w:szCs w:val="16"/>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4AC"/>
    <w:pPr>
      <w:spacing w:after="200" w:line="288" w:lineRule="auto"/>
    </w:pPr>
    <w:rPr>
      <w:rFonts w:eastAsiaTheme="minorEastAsia"/>
      <w:iCs/>
      <w:sz w:val="21"/>
      <w:szCs w:val="21"/>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04AC"/>
    <w:rPr>
      <w:color w:val="0563C1" w:themeColor="hyperlink"/>
      <w:u w:val="single"/>
    </w:rPr>
  </w:style>
  <w:style w:type="paragraph" w:customStyle="1" w:styleId="EndNoteBibliography">
    <w:name w:val="EndNote Bibliography"/>
    <w:basedOn w:val="Normal"/>
    <w:link w:val="EndNoteBibliography0"/>
    <w:rsid w:val="001904AC"/>
    <w:pPr>
      <w:spacing w:line="480" w:lineRule="auto"/>
    </w:pPr>
    <w:rPr>
      <w:rFonts w:ascii="Times New Roman" w:hAnsi="Times New Roman" w:cs="Times New Roman"/>
      <w:noProof/>
    </w:rPr>
  </w:style>
  <w:style w:type="character" w:customStyle="1" w:styleId="EndNoteBibliography0">
    <w:name w:val="EndNote Bibliography 字元"/>
    <w:basedOn w:val="DefaultParagraphFont"/>
    <w:link w:val="EndNoteBibliography"/>
    <w:rsid w:val="001904AC"/>
    <w:rPr>
      <w:rFonts w:ascii="Times New Roman" w:eastAsiaTheme="minorEastAsia" w:hAnsi="Times New Roman" w:cs="Times New Roman"/>
      <w:iCs/>
      <w:noProof/>
      <w:sz w:val="21"/>
      <w:szCs w:val="21"/>
      <w:lang w:eastAsia="zh-TW"/>
    </w:rPr>
  </w:style>
  <w:style w:type="paragraph" w:styleId="NoSpacing">
    <w:name w:val="No Spacing"/>
    <w:uiPriority w:val="1"/>
    <w:qFormat/>
    <w:rsid w:val="001904AC"/>
    <w:pPr>
      <w:spacing w:after="0" w:line="240" w:lineRule="auto"/>
    </w:pPr>
    <w:rPr>
      <w:rFonts w:eastAsiaTheme="minorEastAsia"/>
      <w:iCs/>
      <w:sz w:val="21"/>
      <w:szCs w:val="21"/>
      <w:lang w:eastAsia="zh-TW"/>
    </w:rPr>
  </w:style>
  <w:style w:type="paragraph" w:styleId="BalloonText">
    <w:name w:val="Balloon Text"/>
    <w:basedOn w:val="Normal"/>
    <w:link w:val="BalloonTextChar"/>
    <w:uiPriority w:val="99"/>
    <w:semiHidden/>
    <w:unhideWhenUsed/>
    <w:rsid w:val="00804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2F0"/>
    <w:rPr>
      <w:rFonts w:ascii="Tahoma" w:eastAsiaTheme="minorEastAsia" w:hAnsi="Tahoma" w:cs="Tahoma"/>
      <w:iCs/>
      <w:sz w:val="16"/>
      <w:szCs w:val="1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9970">
      <w:bodyDiv w:val="1"/>
      <w:marLeft w:val="0"/>
      <w:marRight w:val="0"/>
      <w:marTop w:val="0"/>
      <w:marBottom w:val="0"/>
      <w:divBdr>
        <w:top w:val="none" w:sz="0" w:space="0" w:color="auto"/>
        <w:left w:val="none" w:sz="0" w:space="0" w:color="auto"/>
        <w:bottom w:val="none" w:sz="0" w:space="0" w:color="auto"/>
        <w:right w:val="none" w:sz="0" w:space="0" w:color="auto"/>
      </w:divBdr>
    </w:div>
    <w:div w:id="61560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040609013015009" TargetMode="External"/><Relationship Id="rId3" Type="http://schemas.openxmlformats.org/officeDocument/2006/relationships/settings" Target="settings.xml"/><Relationship Id="rId7" Type="http://schemas.openxmlformats.org/officeDocument/2006/relationships/hyperlink" Target="http://www.sciencedirect.com/science/article/pii/S004060901301500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ciencedirect.com/science/article/pii/S0040609013015009" TargetMode="External"/><Relationship Id="rId11" Type="http://schemas.openxmlformats.org/officeDocument/2006/relationships/theme" Target="theme/theme1.xml"/><Relationship Id="rId5" Type="http://schemas.openxmlformats.org/officeDocument/2006/relationships/hyperlink" Target="http://www.sciencedirect.com/science/article/pii/S004060901301500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ciencedirect.com/science/article/pii/S0040609013015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Swetha Sandala</cp:lastModifiedBy>
  <cp:revision>2</cp:revision>
  <dcterms:created xsi:type="dcterms:W3CDTF">2022-10-19T05:38:00Z</dcterms:created>
  <dcterms:modified xsi:type="dcterms:W3CDTF">2022-10-19T07:10:00Z</dcterms:modified>
</cp:coreProperties>
</file>