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71333">
      <w:pPr>
        <w:rPr>
          <w:rFonts w:ascii="Times New Roman" w:hAnsi="Times New Roman" w:cs="Times New Roman"/>
          <w:b/>
          <w:sz w:val="32"/>
        </w:rPr>
      </w:pPr>
      <w:r w:rsidRPr="00E71333">
        <w:rPr>
          <w:rFonts w:ascii="Times New Roman" w:hAnsi="Times New Roman" w:cs="Times New Roman"/>
          <w:b/>
          <w:sz w:val="32"/>
        </w:rPr>
        <w:t>Dexamethasone and CD300a activation display additive inhibitory effect on human and murine mast cell functions</w:t>
      </w:r>
    </w:p>
    <w:p w:rsidR="00E71333" w:rsidRDefault="00E7133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Pratibha</w:t>
      </w:r>
      <w:proofErr w:type="spellEnd"/>
      <w:r>
        <w:rPr>
          <w:rFonts w:ascii="Times New Roman" w:hAnsi="Times New Roman" w:cs="Times New Roman"/>
          <w:sz w:val="24"/>
        </w:rPr>
        <w:t xml:space="preserve"> Gaur*, </w:t>
      </w:r>
      <w:proofErr w:type="spellStart"/>
      <w:r>
        <w:rPr>
          <w:rFonts w:ascii="Times New Roman" w:hAnsi="Times New Roman" w:cs="Times New Roman"/>
          <w:sz w:val="24"/>
        </w:rPr>
        <w:t>Fidan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Rahimli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Alekberli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Laila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Karra</w:t>
      </w:r>
      <w:proofErr w:type="spellEnd"/>
      <w:r>
        <w:rPr>
          <w:rFonts w:ascii="Times New Roman" w:hAnsi="Times New Roman" w:cs="Times New Roman"/>
          <w:sz w:val="24"/>
        </w:rPr>
        <w:t xml:space="preserve">, David </w:t>
      </w:r>
      <w:proofErr w:type="spellStart"/>
      <w:r>
        <w:rPr>
          <w:rFonts w:ascii="Times New Roman" w:hAnsi="Times New Roman" w:cs="Times New Roman"/>
          <w:sz w:val="24"/>
        </w:rPr>
        <w:t>Mankuta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Micha</w:t>
      </w:r>
      <w:proofErr w:type="spellEnd"/>
      <w:r>
        <w:rPr>
          <w:rFonts w:ascii="Times New Roman" w:hAnsi="Times New Roman" w:cs="Times New Roman"/>
          <w:sz w:val="24"/>
        </w:rPr>
        <w:t xml:space="preserve"> Ben </w:t>
      </w:r>
      <w:proofErr w:type="spellStart"/>
      <w:r>
        <w:rPr>
          <w:rFonts w:ascii="Times New Roman" w:hAnsi="Times New Roman" w:cs="Times New Roman"/>
          <w:sz w:val="24"/>
        </w:rPr>
        <w:t>Zimra</w:t>
      </w:r>
      <w:proofErr w:type="spellEnd"/>
      <w:r>
        <w:rPr>
          <w:rFonts w:ascii="Times New Roman" w:hAnsi="Times New Roman" w:cs="Times New Roman"/>
          <w:sz w:val="24"/>
        </w:rPr>
        <w:t xml:space="preserve"> and Francesca Levi Schaffer</w:t>
      </w:r>
    </w:p>
    <w:p w:rsidR="00E71333" w:rsidRPr="00E71333" w:rsidRDefault="00E71333">
      <w:pPr>
        <w:rPr>
          <w:rFonts w:ascii="Times New Roman" w:hAnsi="Times New Roman" w:cs="Times New Roman"/>
        </w:rPr>
      </w:pPr>
      <w:r w:rsidRPr="00E71333">
        <w:rPr>
          <w:rFonts w:ascii="Times New Roman" w:hAnsi="Times New Roman" w:cs="Times New Roman"/>
        </w:rPr>
        <w:t>Hebrew University of Jerusalem, Israel</w:t>
      </w:r>
    </w:p>
    <w:p w:rsidR="00E71333" w:rsidRPr="00E71333" w:rsidRDefault="00E71333" w:rsidP="00E71333">
      <w:pPr>
        <w:jc w:val="center"/>
        <w:rPr>
          <w:rFonts w:ascii="Times New Roman" w:hAnsi="Times New Roman" w:cs="Times New Roman"/>
          <w:b/>
          <w:sz w:val="24"/>
        </w:rPr>
      </w:pPr>
      <w:r w:rsidRPr="00E71333">
        <w:rPr>
          <w:rFonts w:ascii="Times New Roman" w:hAnsi="Times New Roman" w:cs="Times New Roman"/>
          <w:b/>
          <w:sz w:val="24"/>
        </w:rPr>
        <w:t>Abstract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Background:</w:t>
      </w:r>
      <w:r w:rsidRPr="00E713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333">
        <w:rPr>
          <w:rFonts w:ascii="Times New Roman" w:hAnsi="Times New Roman" w:cs="Times New Roman"/>
          <w:sz w:val="20"/>
        </w:rPr>
        <w:t>Glucocortitcosteroids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(GCs) are the most common agents used to control inflammation in allergic diseases. GCs elicit a series of side effects especially in long term treatment. Therefore, alternative treatments are needed. CD300a is an inhibitory receptor functionally displayed on both human and mouse Mast Cells (MCs).</w:t>
      </w:r>
      <w:r>
        <w:rPr>
          <w:rFonts w:ascii="Times New Roman" w:hAnsi="Times New Roman" w:cs="Times New Roman"/>
          <w:sz w:val="20"/>
        </w:rPr>
        <w:t xml:space="preserve"> </w:t>
      </w:r>
      <w:r w:rsidRPr="00E71333">
        <w:rPr>
          <w:rFonts w:ascii="Times New Roman" w:hAnsi="Times New Roman" w:cs="Times New Roman"/>
          <w:sz w:val="20"/>
        </w:rPr>
        <w:t>The possible interplay between GCs and inhibitory receptors such as CD300a has not yet been investigated on MCs.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Aim:</w:t>
      </w:r>
      <w:r w:rsidRPr="00E71333">
        <w:rPr>
          <w:rFonts w:ascii="Times New Roman" w:hAnsi="Times New Roman" w:cs="Times New Roman"/>
          <w:sz w:val="20"/>
        </w:rPr>
        <w:t xml:space="preserve"> We aimed to evaluate the combined effect of Dexamethasone (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>) and CD300a on human and murine MCs functions and in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-induced peritonitis in mice.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Methods:</w:t>
      </w:r>
      <w:r w:rsidRPr="00E7133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Cord Blood derived MCs (CBMCs)/</w:t>
      </w:r>
      <w:r w:rsidRPr="00E71333">
        <w:rPr>
          <w:rFonts w:ascii="Times New Roman" w:hAnsi="Times New Roman" w:cs="Times New Roman"/>
          <w:sz w:val="20"/>
        </w:rPr>
        <w:t xml:space="preserve">Bone Marrow derived MCs (BMMCs) were incubated with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anti-CD300a (activated by an anti-CD300a </w:t>
      </w:r>
      <w:proofErr w:type="spellStart"/>
      <w:r w:rsidRPr="00E71333">
        <w:rPr>
          <w:rFonts w:ascii="Times New Roman" w:hAnsi="Times New Roman" w:cs="Times New Roman"/>
          <w:sz w:val="20"/>
        </w:rPr>
        <w:t>mAbs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) followed by activation </w:t>
      </w:r>
      <w:r w:rsidRPr="00E71333">
        <w:rPr>
          <w:rFonts w:ascii="Times New Roman" w:hAnsi="Times New Roman" w:cs="Times New Roman"/>
          <w:i/>
          <w:sz w:val="20"/>
        </w:rPr>
        <w:t>via</w:t>
      </w:r>
      <w:r w:rsidRPr="00E713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-mediated activation. MCs mediator and cytokine release were assessed. Mice were injected subcutaneously with vehicle/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for 1 </w:t>
      </w:r>
      <w:proofErr w:type="spellStart"/>
      <w:r w:rsidRPr="00E71333">
        <w:rPr>
          <w:rFonts w:ascii="Times New Roman" w:hAnsi="Times New Roman" w:cs="Times New Roman"/>
          <w:sz w:val="20"/>
        </w:rPr>
        <w:t>hr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followed by </w:t>
      </w:r>
      <w:proofErr w:type="spellStart"/>
      <w:r w:rsidRPr="00E71333">
        <w:rPr>
          <w:rFonts w:ascii="Times New Roman" w:hAnsi="Times New Roman" w:cs="Times New Roman"/>
          <w:sz w:val="20"/>
        </w:rPr>
        <w:t>i.p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. injection with anti-CD300a/IgG2b. After 40 </w:t>
      </w:r>
      <w:proofErr w:type="spellStart"/>
      <w:r w:rsidRPr="00E71333">
        <w:rPr>
          <w:rFonts w:ascii="Times New Roman" w:hAnsi="Times New Roman" w:cs="Times New Roman"/>
          <w:sz w:val="20"/>
        </w:rPr>
        <w:t>mins</w:t>
      </w:r>
      <w:proofErr w:type="spellEnd"/>
      <w:r w:rsidRPr="00E71333">
        <w:rPr>
          <w:rFonts w:ascii="Times New Roman" w:hAnsi="Times New Roman" w:cs="Times New Roman"/>
          <w:sz w:val="20"/>
        </w:rPr>
        <w:t>,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Abs were injected </w:t>
      </w:r>
      <w:proofErr w:type="spellStart"/>
      <w:r w:rsidRPr="00E71333">
        <w:rPr>
          <w:rFonts w:ascii="Times New Roman" w:hAnsi="Times New Roman" w:cs="Times New Roman"/>
          <w:sz w:val="20"/>
        </w:rPr>
        <w:t>i.p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. for activation of peritoneal MCs. Mice were euthanized after 30 </w:t>
      </w:r>
      <w:proofErr w:type="spellStart"/>
      <w:r w:rsidRPr="00E71333">
        <w:rPr>
          <w:rFonts w:ascii="Times New Roman" w:hAnsi="Times New Roman" w:cs="Times New Roman"/>
          <w:sz w:val="20"/>
        </w:rPr>
        <w:t>mins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inflammation parameters were </w:t>
      </w:r>
      <w:proofErr w:type="spellStart"/>
      <w:r w:rsidRPr="00E71333">
        <w:rPr>
          <w:rFonts w:ascii="Times New Roman" w:hAnsi="Times New Roman" w:cs="Times New Roman"/>
          <w:sz w:val="20"/>
        </w:rPr>
        <w:t>analysed</w:t>
      </w:r>
      <w:proofErr w:type="spellEnd"/>
      <w:r w:rsidRPr="00E71333">
        <w:rPr>
          <w:rFonts w:ascii="Times New Roman" w:hAnsi="Times New Roman" w:cs="Times New Roman"/>
          <w:sz w:val="20"/>
        </w:rPr>
        <w:t>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Results:</w:t>
      </w:r>
      <w:r w:rsidRPr="00E71333">
        <w:rPr>
          <w:rFonts w:ascii="Times New Roman" w:hAnsi="Times New Roman" w:cs="Times New Roman"/>
          <w:sz w:val="20"/>
        </w:rPr>
        <w:t xml:space="preserve"> In CBMCs/BMMCs, the combined treatment of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with anti-CD300a significantly reduced release of pro-inflammatory cytokines compared to their mono-treatments. Additionally, in 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-sensitized and challenged BMMCs, the combined treatment led to a slight but significant inhibition of β-</w:t>
      </w:r>
      <w:proofErr w:type="spellStart"/>
      <w:r w:rsidRPr="00E71333">
        <w:rPr>
          <w:rFonts w:ascii="Times New Roman" w:hAnsi="Times New Roman" w:cs="Times New Roman"/>
          <w:sz w:val="20"/>
        </w:rPr>
        <w:t>hexosaminidase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release. Further, we demonstrated a significant decrease in </w:t>
      </w:r>
      <w:proofErr w:type="spellStart"/>
      <w:r w:rsidRPr="00E71333">
        <w:rPr>
          <w:rFonts w:ascii="Times New Roman" w:hAnsi="Times New Roman" w:cs="Times New Roman"/>
          <w:sz w:val="20"/>
        </w:rPr>
        <w:t>tryptase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release in the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induced peritonitis model. TNF-α levels were reduced, although not significantly. Finally, </w:t>
      </w:r>
      <w:proofErr w:type="spellStart"/>
      <w:r w:rsidRPr="00E71333">
        <w:rPr>
          <w:rFonts w:ascii="Times New Roman" w:hAnsi="Times New Roman" w:cs="Times New Roman"/>
          <w:sz w:val="20"/>
        </w:rPr>
        <w:t>Giemsa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staining confirmed the biochemical analysis, showing a significant reduction in numbers of de-granulated MCs in the combined treated group.</w:t>
      </w:r>
    </w:p>
    <w:p w:rsid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Conclusion:</w:t>
      </w:r>
      <w:r w:rsidRPr="00E71333">
        <w:rPr>
          <w:rFonts w:ascii="Times New Roman" w:hAnsi="Times New Roman" w:cs="Times New Roman"/>
          <w:sz w:val="20"/>
        </w:rPr>
        <w:t xml:space="preserve"> Our results suggest that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anti-CD300a combined treatment might have clinical relevance in terms of GCs sparing.</w:t>
      </w:r>
    </w:p>
    <w:p w:rsidR="00E71333" w:rsidRPr="00E71333" w:rsidRDefault="00E71333" w:rsidP="00E71333">
      <w:pPr>
        <w:rPr>
          <w:rFonts w:ascii="Times New Roman" w:hAnsi="Times New Roman" w:cs="Times New Roman"/>
          <w:b/>
          <w:sz w:val="24"/>
        </w:rPr>
      </w:pPr>
      <w:r w:rsidRPr="00E71333">
        <w:rPr>
          <w:rFonts w:ascii="Times New Roman" w:hAnsi="Times New Roman" w:cs="Times New Roman"/>
          <w:b/>
          <w:sz w:val="24"/>
        </w:rPr>
        <w:t>Biography</w:t>
      </w:r>
    </w:p>
    <w:p w:rsidR="008F7C47" w:rsidRPr="008F7C47" w:rsidRDefault="008F7C47" w:rsidP="008F7C47">
      <w:pPr>
        <w:jc w:val="both"/>
        <w:rPr>
          <w:rFonts w:ascii="Times New Roman" w:hAnsi="Times New Roman" w:cs="Times New Roman"/>
          <w:b/>
          <w:sz w:val="20"/>
          <w:lang w:val="en-IN"/>
        </w:rPr>
      </w:pPr>
      <w:proofErr w:type="spellStart"/>
      <w:r w:rsidRPr="008F7C47">
        <w:rPr>
          <w:rFonts w:ascii="Times New Roman" w:hAnsi="Times New Roman" w:cs="Times New Roman"/>
          <w:b/>
          <w:sz w:val="20"/>
          <w:lang w:val="en-IN"/>
        </w:rPr>
        <w:t>Pratibha</w:t>
      </w:r>
      <w:proofErr w:type="spellEnd"/>
      <w:r w:rsidRPr="008F7C47">
        <w:rPr>
          <w:rFonts w:ascii="Times New Roman" w:hAnsi="Times New Roman" w:cs="Times New Roman"/>
          <w:b/>
          <w:sz w:val="20"/>
          <w:lang w:val="en-IN"/>
        </w:rPr>
        <w:t xml:space="preserve"> Gaur  </w:t>
      </w:r>
    </w:p>
    <w:p w:rsidR="00E71333" w:rsidRDefault="008F7C47" w:rsidP="008F7C47">
      <w:pPr>
        <w:pStyle w:val="NoSpacing"/>
        <w:jc w:val="both"/>
        <w:rPr>
          <w:lang w:val="en-IN"/>
        </w:rPr>
      </w:pPr>
      <w:r w:rsidRPr="008F7C47">
        <w:rPr>
          <w:lang w:val="en-IN"/>
        </w:rPr>
        <w:t>Postdoctoral Fellow at</w:t>
      </w:r>
      <w:r>
        <w:rPr>
          <w:lang w:val="en-IN"/>
        </w:rPr>
        <w:t xml:space="preserve"> </w:t>
      </w:r>
      <w:bookmarkStart w:id="0" w:name="_GoBack"/>
      <w:bookmarkEnd w:id="0"/>
      <w:r w:rsidRPr="008F7C47">
        <w:rPr>
          <w:lang w:val="en-IN"/>
        </w:rPr>
        <w:t>The Hebrew University of Jerusalem</w:t>
      </w:r>
    </w:p>
    <w:p w:rsidR="008F7C47" w:rsidRPr="008F7C47" w:rsidRDefault="008F7C47" w:rsidP="008F7C47">
      <w:pPr>
        <w:pStyle w:val="NoSpacing"/>
        <w:jc w:val="both"/>
        <w:rPr>
          <w:lang w:val="en-IN"/>
        </w:rPr>
      </w:pPr>
    </w:p>
    <w:p w:rsidR="008F7C47" w:rsidRPr="008F7C47" w:rsidRDefault="008F7C47" w:rsidP="008F7C47">
      <w:pPr>
        <w:pStyle w:val="NoSpacing"/>
        <w:jc w:val="both"/>
        <w:rPr>
          <w:lang w:val="en-IN"/>
        </w:rPr>
      </w:pPr>
      <w:r>
        <w:rPr>
          <w:lang w:val="en-IN"/>
        </w:rPr>
        <w:t xml:space="preserve">She holds degree from </w:t>
      </w:r>
      <w:r w:rsidRPr="008F7C47">
        <w:rPr>
          <w:lang w:val="en-IN"/>
        </w:rPr>
        <w:t xml:space="preserve">International Centre for Genetic Engineering and </w:t>
      </w:r>
      <w:r w:rsidRPr="008F7C47">
        <w:rPr>
          <w:lang w:val="en-IN"/>
        </w:rPr>
        <w:t>Biotechnology</w:t>
      </w:r>
      <w:r>
        <w:rPr>
          <w:lang w:val="en-IN"/>
        </w:rPr>
        <w:t xml:space="preserve"> and she completed her Ph.Ds. in </w:t>
      </w:r>
      <w:r w:rsidRPr="008F7C47">
        <w:rPr>
          <w:lang w:val="en-IN"/>
        </w:rPr>
        <w:t xml:space="preserve"> International</w:t>
      </w:r>
      <w:r w:rsidRPr="008F7C47">
        <w:rPr>
          <w:lang w:val="en-IN"/>
        </w:rPr>
        <w:t xml:space="preserve"> Centre for Geneti</w:t>
      </w:r>
      <w:r>
        <w:rPr>
          <w:lang w:val="en-IN"/>
        </w:rPr>
        <w:t xml:space="preserve">c Engineering and Biotechnology </w:t>
      </w:r>
      <w:r w:rsidRPr="008F7C47">
        <w:rPr>
          <w:lang w:val="en-IN"/>
        </w:rPr>
        <w:t xml:space="preserve">Doctor of Philosophy (Ph.D.), Molecular </w:t>
      </w:r>
      <w:r w:rsidRPr="008F7C47">
        <w:rPr>
          <w:lang w:val="en-IN"/>
        </w:rPr>
        <w:t>Virology Doctor</w:t>
      </w:r>
      <w:r w:rsidRPr="008F7C47">
        <w:rPr>
          <w:lang w:val="en-IN"/>
        </w:rPr>
        <w:t xml:space="preserve"> of Philoso</w:t>
      </w:r>
      <w:r>
        <w:rPr>
          <w:lang w:val="en-IN"/>
        </w:rPr>
        <w:t xml:space="preserve">phy (Ph.D.), Molecular Virology </w:t>
      </w:r>
      <w:r w:rsidRPr="008F7C47">
        <w:rPr>
          <w:lang w:val="en-IN"/>
        </w:rPr>
        <w:t xml:space="preserve">2007 </w:t>
      </w:r>
      <w:r>
        <w:rPr>
          <w:lang w:val="en-IN"/>
        </w:rPr>
        <w:t>–</w:t>
      </w:r>
      <w:r w:rsidRPr="008F7C47">
        <w:rPr>
          <w:lang w:val="en-IN"/>
        </w:rPr>
        <w:t xml:space="preserve"> 2011</w:t>
      </w:r>
      <w:r>
        <w:rPr>
          <w:lang w:val="en-IN"/>
        </w:rPr>
        <w:t xml:space="preserve"> </w:t>
      </w:r>
      <w:r w:rsidRPr="008F7C47">
        <w:rPr>
          <w:lang w:val="en-IN"/>
        </w:rPr>
        <w:t>Grade: First</w:t>
      </w:r>
      <w:r>
        <w:rPr>
          <w:lang w:val="en-IN"/>
        </w:rPr>
        <w:t xml:space="preserve">, and started her </w:t>
      </w:r>
      <w:r w:rsidRPr="008F7C47">
        <w:rPr>
          <w:lang w:val="en-IN"/>
        </w:rPr>
        <w:t>Postdo</w:t>
      </w:r>
      <w:r>
        <w:rPr>
          <w:lang w:val="en-IN"/>
        </w:rPr>
        <w:t xml:space="preserve">ctoral Fellowship in </w:t>
      </w:r>
      <w:r w:rsidRPr="008F7C47">
        <w:rPr>
          <w:lang w:val="en-IN"/>
        </w:rPr>
        <w:t>The H</w:t>
      </w:r>
      <w:r>
        <w:rPr>
          <w:lang w:val="en-IN"/>
        </w:rPr>
        <w:t xml:space="preserve">ebrew University of Jerusalem </w:t>
      </w:r>
    </w:p>
    <w:p w:rsidR="008F7C47" w:rsidRDefault="008F7C47" w:rsidP="008F7C47">
      <w:pPr>
        <w:pStyle w:val="NoSpacing"/>
        <w:jc w:val="both"/>
        <w:rPr>
          <w:lang w:val="en-IN"/>
        </w:rPr>
      </w:pPr>
      <w:r w:rsidRPr="008F7C47">
        <w:rPr>
          <w:lang w:val="en-IN"/>
        </w:rPr>
        <w:t>Oct 2018 - Present · Jerusalem Area, Israel</w:t>
      </w:r>
    </w:p>
    <w:p w:rsidR="008F7C47" w:rsidRPr="008F7C47" w:rsidRDefault="008F7C47" w:rsidP="008F7C47">
      <w:pPr>
        <w:pStyle w:val="NoSpacing"/>
        <w:jc w:val="both"/>
        <w:rPr>
          <w:lang w:val="en-IN"/>
        </w:rPr>
      </w:pPr>
    </w:p>
    <w:sectPr w:rsidR="008F7C47" w:rsidRPr="008F7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333"/>
    <w:rsid w:val="00474203"/>
    <w:rsid w:val="00535872"/>
    <w:rsid w:val="008F7C47"/>
    <w:rsid w:val="00920D46"/>
    <w:rsid w:val="00924B33"/>
    <w:rsid w:val="00E7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7C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7C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3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</cp:lastModifiedBy>
  <cp:revision>3</cp:revision>
  <dcterms:created xsi:type="dcterms:W3CDTF">2022-10-11T05:44:00Z</dcterms:created>
  <dcterms:modified xsi:type="dcterms:W3CDTF">2022-10-12T03:25:00Z</dcterms:modified>
</cp:coreProperties>
</file>