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71333">
      <w:pPr>
        <w:rPr>
          <w:rFonts w:ascii="Times New Roman" w:hAnsi="Times New Roman" w:cs="Times New Roman"/>
          <w:b/>
          <w:sz w:val="32"/>
        </w:rPr>
      </w:pPr>
      <w:r w:rsidRPr="00E71333">
        <w:rPr>
          <w:rFonts w:ascii="Times New Roman" w:hAnsi="Times New Roman" w:cs="Times New Roman"/>
          <w:b/>
          <w:sz w:val="32"/>
        </w:rPr>
        <w:t>Dexamethasone and CD300a activation display additive inhibitory effect on human and murine mast cell functions</w:t>
      </w:r>
    </w:p>
    <w:p w:rsidR="00E71333" w:rsidRDefault="00E71333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Pratibha</w:t>
      </w:r>
      <w:proofErr w:type="spellEnd"/>
      <w:r>
        <w:rPr>
          <w:rFonts w:ascii="Times New Roman" w:hAnsi="Times New Roman" w:cs="Times New Roman"/>
          <w:sz w:val="24"/>
        </w:rPr>
        <w:t xml:space="preserve"> Gaur*, </w:t>
      </w:r>
      <w:proofErr w:type="spellStart"/>
      <w:r>
        <w:rPr>
          <w:rFonts w:ascii="Times New Roman" w:hAnsi="Times New Roman" w:cs="Times New Roman"/>
          <w:sz w:val="24"/>
        </w:rPr>
        <w:t>Fidan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Rahimli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Alekberli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Laila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Karra</w:t>
      </w:r>
      <w:proofErr w:type="spellEnd"/>
      <w:r>
        <w:rPr>
          <w:rFonts w:ascii="Times New Roman" w:hAnsi="Times New Roman" w:cs="Times New Roman"/>
          <w:sz w:val="24"/>
        </w:rPr>
        <w:t xml:space="preserve">, David </w:t>
      </w:r>
      <w:proofErr w:type="spellStart"/>
      <w:r>
        <w:rPr>
          <w:rFonts w:ascii="Times New Roman" w:hAnsi="Times New Roman" w:cs="Times New Roman"/>
          <w:sz w:val="24"/>
        </w:rPr>
        <w:t>Mankuta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Micha</w:t>
      </w:r>
      <w:proofErr w:type="spellEnd"/>
      <w:r>
        <w:rPr>
          <w:rFonts w:ascii="Times New Roman" w:hAnsi="Times New Roman" w:cs="Times New Roman"/>
          <w:sz w:val="24"/>
        </w:rPr>
        <w:t xml:space="preserve"> Ben </w:t>
      </w:r>
      <w:proofErr w:type="spellStart"/>
      <w:r>
        <w:rPr>
          <w:rFonts w:ascii="Times New Roman" w:hAnsi="Times New Roman" w:cs="Times New Roman"/>
          <w:sz w:val="24"/>
        </w:rPr>
        <w:t>Zimra</w:t>
      </w:r>
      <w:proofErr w:type="spellEnd"/>
      <w:r>
        <w:rPr>
          <w:rFonts w:ascii="Times New Roman" w:hAnsi="Times New Roman" w:cs="Times New Roman"/>
          <w:sz w:val="24"/>
        </w:rPr>
        <w:t xml:space="preserve"> and Francesca Levi Schaffer</w:t>
      </w:r>
    </w:p>
    <w:p w:rsidR="00E71333" w:rsidRPr="00E71333" w:rsidRDefault="00E71333">
      <w:pPr>
        <w:rPr>
          <w:rFonts w:ascii="Times New Roman" w:hAnsi="Times New Roman" w:cs="Times New Roman"/>
        </w:rPr>
      </w:pPr>
      <w:r w:rsidRPr="00E71333">
        <w:rPr>
          <w:rFonts w:ascii="Times New Roman" w:hAnsi="Times New Roman" w:cs="Times New Roman"/>
        </w:rPr>
        <w:t>Hebrew University of Jerusalem, Israel</w:t>
      </w:r>
    </w:p>
    <w:p w:rsidR="00E71333" w:rsidRPr="00E71333" w:rsidRDefault="00E71333" w:rsidP="00E71333">
      <w:pPr>
        <w:jc w:val="center"/>
        <w:rPr>
          <w:rFonts w:ascii="Times New Roman" w:hAnsi="Times New Roman" w:cs="Times New Roman"/>
          <w:b/>
          <w:sz w:val="24"/>
        </w:rPr>
      </w:pPr>
      <w:r w:rsidRPr="00E71333">
        <w:rPr>
          <w:rFonts w:ascii="Times New Roman" w:hAnsi="Times New Roman" w:cs="Times New Roman"/>
          <w:b/>
          <w:sz w:val="24"/>
        </w:rPr>
        <w:t>Abstract</w:t>
      </w:r>
    </w:p>
    <w:p w:rsidR="00E71333" w:rsidRP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Background:</w:t>
      </w:r>
      <w:r w:rsidRPr="00E7133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1333">
        <w:rPr>
          <w:rFonts w:ascii="Times New Roman" w:hAnsi="Times New Roman" w:cs="Times New Roman"/>
          <w:sz w:val="20"/>
        </w:rPr>
        <w:t>Glucocortitcosteroids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(GCs) are the most common agents used to control inflammation in allergic diseases. GCs elicit a series of side effects especially in long term treatment. Therefore, alternative treatments are needed. CD300a is an inhibitory receptor functionally displayed on both human and mouse </w:t>
      </w:r>
      <w:r w:rsidRPr="00E71333">
        <w:rPr>
          <w:rFonts w:ascii="Times New Roman" w:hAnsi="Times New Roman" w:cs="Times New Roman"/>
          <w:sz w:val="20"/>
        </w:rPr>
        <w:t xml:space="preserve">Mast Cells </w:t>
      </w:r>
      <w:r w:rsidRPr="00E71333">
        <w:rPr>
          <w:rFonts w:ascii="Times New Roman" w:hAnsi="Times New Roman" w:cs="Times New Roman"/>
          <w:sz w:val="20"/>
        </w:rPr>
        <w:t>(MCs).</w:t>
      </w:r>
      <w:r>
        <w:rPr>
          <w:rFonts w:ascii="Times New Roman" w:hAnsi="Times New Roman" w:cs="Times New Roman"/>
          <w:sz w:val="20"/>
        </w:rPr>
        <w:t xml:space="preserve"> </w:t>
      </w:r>
      <w:r w:rsidRPr="00E71333">
        <w:rPr>
          <w:rFonts w:ascii="Times New Roman" w:hAnsi="Times New Roman" w:cs="Times New Roman"/>
          <w:sz w:val="20"/>
        </w:rPr>
        <w:t>The possible interplay between GCs and inhibitory receptors such as CD300a has not yet been investigated on MCs.</w:t>
      </w:r>
    </w:p>
    <w:p w:rsidR="00E71333" w:rsidRP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Aim:</w:t>
      </w:r>
      <w:r w:rsidRPr="00E71333">
        <w:rPr>
          <w:rFonts w:ascii="Times New Roman" w:hAnsi="Times New Roman" w:cs="Times New Roman"/>
          <w:sz w:val="20"/>
        </w:rPr>
        <w:t xml:space="preserve"> We aimed to evaluate the combined effect of </w:t>
      </w:r>
      <w:r w:rsidRPr="00E71333">
        <w:rPr>
          <w:rFonts w:ascii="Times New Roman" w:hAnsi="Times New Roman" w:cs="Times New Roman"/>
          <w:sz w:val="20"/>
        </w:rPr>
        <w:t xml:space="preserve">Dexamethasone </w:t>
      </w:r>
      <w:r w:rsidRPr="00E71333">
        <w:rPr>
          <w:rFonts w:ascii="Times New Roman" w:hAnsi="Times New Roman" w:cs="Times New Roman"/>
          <w:sz w:val="20"/>
        </w:rPr>
        <w:t>(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>) and CD300a on human and murine MCs functions and in anti-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>-induced peritonitis in mice.</w:t>
      </w:r>
    </w:p>
    <w:p w:rsidR="00E71333" w:rsidRP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Methods:</w:t>
      </w:r>
      <w:r w:rsidRPr="00E71333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Cord Blood derived MCs (CBMCs)/</w:t>
      </w:r>
      <w:r w:rsidRPr="00E71333">
        <w:rPr>
          <w:rFonts w:ascii="Times New Roman" w:hAnsi="Times New Roman" w:cs="Times New Roman"/>
          <w:sz w:val="20"/>
        </w:rPr>
        <w:t xml:space="preserve">Bone Marrow </w:t>
      </w:r>
      <w:r w:rsidRPr="00E71333">
        <w:rPr>
          <w:rFonts w:ascii="Times New Roman" w:hAnsi="Times New Roman" w:cs="Times New Roman"/>
          <w:sz w:val="20"/>
        </w:rPr>
        <w:t xml:space="preserve">derived MCs (BMMCs) were incubated with 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and anti-CD300a (activated by an anti-CD300a </w:t>
      </w:r>
      <w:proofErr w:type="spellStart"/>
      <w:r w:rsidRPr="00E71333">
        <w:rPr>
          <w:rFonts w:ascii="Times New Roman" w:hAnsi="Times New Roman" w:cs="Times New Roman"/>
          <w:sz w:val="20"/>
        </w:rPr>
        <w:t>mAbs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) followed by activation </w:t>
      </w:r>
      <w:r w:rsidRPr="00E71333">
        <w:rPr>
          <w:rFonts w:ascii="Times New Roman" w:hAnsi="Times New Roman" w:cs="Times New Roman"/>
          <w:i/>
          <w:sz w:val="20"/>
        </w:rPr>
        <w:t>via</w:t>
      </w:r>
      <w:r w:rsidRPr="00E7133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>-mediated activation. MCs mediator and cytokine release were assessed. Mice were injected subcutaneously with vehicle/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for 1 </w:t>
      </w:r>
      <w:proofErr w:type="spellStart"/>
      <w:r w:rsidRPr="00E71333">
        <w:rPr>
          <w:rFonts w:ascii="Times New Roman" w:hAnsi="Times New Roman" w:cs="Times New Roman"/>
          <w:sz w:val="20"/>
        </w:rPr>
        <w:t>hr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followed by </w:t>
      </w:r>
      <w:proofErr w:type="spellStart"/>
      <w:r w:rsidRPr="00E71333">
        <w:rPr>
          <w:rFonts w:ascii="Times New Roman" w:hAnsi="Times New Roman" w:cs="Times New Roman"/>
          <w:sz w:val="20"/>
        </w:rPr>
        <w:t>i.p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. injection with anti-CD300a/IgG2b. After 40 </w:t>
      </w:r>
      <w:proofErr w:type="spellStart"/>
      <w:r w:rsidRPr="00E71333">
        <w:rPr>
          <w:rFonts w:ascii="Times New Roman" w:hAnsi="Times New Roman" w:cs="Times New Roman"/>
          <w:sz w:val="20"/>
        </w:rPr>
        <w:t>mins</w:t>
      </w:r>
      <w:proofErr w:type="spellEnd"/>
      <w:r w:rsidRPr="00E71333">
        <w:rPr>
          <w:rFonts w:ascii="Times New Roman" w:hAnsi="Times New Roman" w:cs="Times New Roman"/>
          <w:sz w:val="20"/>
        </w:rPr>
        <w:t>, anti-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Abs were injected </w:t>
      </w:r>
      <w:proofErr w:type="spellStart"/>
      <w:r w:rsidRPr="00E71333">
        <w:rPr>
          <w:rFonts w:ascii="Times New Roman" w:hAnsi="Times New Roman" w:cs="Times New Roman"/>
          <w:sz w:val="20"/>
        </w:rPr>
        <w:t>i.p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. for activation of peritoneal MCs. Mice were euthanized after 30 </w:t>
      </w:r>
      <w:proofErr w:type="spellStart"/>
      <w:r w:rsidRPr="00E71333">
        <w:rPr>
          <w:rFonts w:ascii="Times New Roman" w:hAnsi="Times New Roman" w:cs="Times New Roman"/>
          <w:sz w:val="20"/>
        </w:rPr>
        <w:t>mins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an</w:t>
      </w:r>
      <w:bookmarkStart w:id="0" w:name="_GoBack"/>
      <w:bookmarkEnd w:id="0"/>
      <w:r w:rsidRPr="00E71333">
        <w:rPr>
          <w:rFonts w:ascii="Times New Roman" w:hAnsi="Times New Roman" w:cs="Times New Roman"/>
          <w:sz w:val="20"/>
        </w:rPr>
        <w:t xml:space="preserve">d inflammation parameters were </w:t>
      </w:r>
      <w:proofErr w:type="spellStart"/>
      <w:r w:rsidRPr="00E71333">
        <w:rPr>
          <w:rFonts w:ascii="Times New Roman" w:hAnsi="Times New Roman" w:cs="Times New Roman"/>
          <w:sz w:val="20"/>
        </w:rPr>
        <w:t>analysed</w:t>
      </w:r>
      <w:proofErr w:type="spellEnd"/>
      <w:r w:rsidRPr="00E71333">
        <w:rPr>
          <w:rFonts w:ascii="Times New Roman" w:hAnsi="Times New Roman" w:cs="Times New Roman"/>
          <w:sz w:val="20"/>
        </w:rPr>
        <w:t>.</w:t>
      </w:r>
    </w:p>
    <w:p w:rsidR="00E71333" w:rsidRP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Results:</w:t>
      </w:r>
      <w:r w:rsidRPr="00E71333">
        <w:rPr>
          <w:rFonts w:ascii="Times New Roman" w:hAnsi="Times New Roman" w:cs="Times New Roman"/>
          <w:sz w:val="20"/>
        </w:rPr>
        <w:t xml:space="preserve"> In CBMCs/BMMCs, the combined treatment of 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with anti-CD300a significantly reduced release of pro-inflammatory cytokines compared to their mono-treatments. Additionally, in 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>-sensitized and challenged BMMCs, the combined treatment led to a slight but significant inhibition of β-</w:t>
      </w:r>
      <w:proofErr w:type="spellStart"/>
      <w:r w:rsidRPr="00E71333">
        <w:rPr>
          <w:rFonts w:ascii="Times New Roman" w:hAnsi="Times New Roman" w:cs="Times New Roman"/>
          <w:sz w:val="20"/>
        </w:rPr>
        <w:t>hexosaminidase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release. Further, we demonstrated a significant decrease in </w:t>
      </w:r>
      <w:proofErr w:type="spellStart"/>
      <w:r w:rsidRPr="00E71333">
        <w:rPr>
          <w:rFonts w:ascii="Times New Roman" w:hAnsi="Times New Roman" w:cs="Times New Roman"/>
          <w:sz w:val="20"/>
        </w:rPr>
        <w:t>tryptase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release in the anti-</w:t>
      </w:r>
      <w:proofErr w:type="spellStart"/>
      <w:r w:rsidRPr="00E71333">
        <w:rPr>
          <w:rFonts w:ascii="Times New Roman" w:hAnsi="Times New Roman" w:cs="Times New Roman"/>
          <w:sz w:val="20"/>
        </w:rPr>
        <w:t>IgE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induced peritonitis model. TNF-α levels were reduced, although not significantly. Finally, </w:t>
      </w:r>
      <w:proofErr w:type="spellStart"/>
      <w:r w:rsidRPr="00E71333">
        <w:rPr>
          <w:rFonts w:ascii="Times New Roman" w:hAnsi="Times New Roman" w:cs="Times New Roman"/>
          <w:sz w:val="20"/>
        </w:rPr>
        <w:t>Giemsa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staining confirmed the biochemical analysis, showing a significant reduction in numbers of de-granulated MCs in the combined treated group.</w:t>
      </w:r>
    </w:p>
    <w:p w:rsid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  <w:r w:rsidRPr="00E71333">
        <w:rPr>
          <w:rFonts w:ascii="Times New Roman" w:hAnsi="Times New Roman" w:cs="Times New Roman"/>
          <w:b/>
          <w:sz w:val="20"/>
        </w:rPr>
        <w:t>Conclusion:</w:t>
      </w:r>
      <w:r w:rsidRPr="00E71333">
        <w:rPr>
          <w:rFonts w:ascii="Times New Roman" w:hAnsi="Times New Roman" w:cs="Times New Roman"/>
          <w:sz w:val="20"/>
        </w:rPr>
        <w:t xml:space="preserve"> Our results suggest that </w:t>
      </w:r>
      <w:proofErr w:type="spellStart"/>
      <w:r w:rsidRPr="00E71333">
        <w:rPr>
          <w:rFonts w:ascii="Times New Roman" w:hAnsi="Times New Roman" w:cs="Times New Roman"/>
          <w:sz w:val="20"/>
        </w:rPr>
        <w:t>Dex</w:t>
      </w:r>
      <w:proofErr w:type="spellEnd"/>
      <w:r w:rsidRPr="00E71333">
        <w:rPr>
          <w:rFonts w:ascii="Times New Roman" w:hAnsi="Times New Roman" w:cs="Times New Roman"/>
          <w:sz w:val="20"/>
        </w:rPr>
        <w:t xml:space="preserve"> and anti-CD300a combined treatment might have clinical relevance in terms of GCs sparing.</w:t>
      </w:r>
    </w:p>
    <w:p w:rsidR="00E71333" w:rsidRPr="00E71333" w:rsidRDefault="00E71333" w:rsidP="00E71333">
      <w:pPr>
        <w:rPr>
          <w:rFonts w:ascii="Times New Roman" w:hAnsi="Times New Roman" w:cs="Times New Roman"/>
          <w:b/>
          <w:sz w:val="24"/>
        </w:rPr>
      </w:pPr>
      <w:commentRangeStart w:id="1"/>
      <w:r w:rsidRPr="00E71333">
        <w:rPr>
          <w:rFonts w:ascii="Times New Roman" w:hAnsi="Times New Roman" w:cs="Times New Roman"/>
          <w:b/>
          <w:sz w:val="24"/>
        </w:rPr>
        <w:t>Biography</w:t>
      </w:r>
      <w:commentRangeEnd w:id="1"/>
      <w:r w:rsidR="00920D46">
        <w:rPr>
          <w:rStyle w:val="CommentReference"/>
        </w:rPr>
        <w:commentReference w:id="1"/>
      </w:r>
    </w:p>
    <w:p w:rsidR="00E71333" w:rsidRPr="00E71333" w:rsidRDefault="00E71333" w:rsidP="00E71333">
      <w:pPr>
        <w:jc w:val="both"/>
        <w:rPr>
          <w:rFonts w:ascii="Times New Roman" w:hAnsi="Times New Roman" w:cs="Times New Roman"/>
          <w:sz w:val="20"/>
        </w:rPr>
      </w:pPr>
    </w:p>
    <w:sectPr w:rsidR="00E71333" w:rsidRPr="00E713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0-11T11:21:00Z" w:initials="SS">
    <w:p w:rsidR="00920D46" w:rsidRDefault="00920D46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333"/>
    <w:rsid w:val="00474203"/>
    <w:rsid w:val="00535872"/>
    <w:rsid w:val="00920D46"/>
    <w:rsid w:val="00924B33"/>
    <w:rsid w:val="00E7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20D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0D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0D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D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D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20D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0D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0D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D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D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2022-10-11T05:44:00Z</dcterms:created>
  <dcterms:modified xsi:type="dcterms:W3CDTF">2022-10-11T05:51:00Z</dcterms:modified>
</cp:coreProperties>
</file>