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E3D96">
      <w:pPr>
        <w:rPr>
          <w:rFonts w:ascii="Times New Roman" w:hAnsi="Times New Roman" w:cs="Times New Roman"/>
          <w:b/>
          <w:sz w:val="32"/>
        </w:rPr>
      </w:pPr>
      <w:r w:rsidRPr="00BE3D96">
        <w:rPr>
          <w:rFonts w:ascii="Times New Roman" w:hAnsi="Times New Roman" w:cs="Times New Roman"/>
          <w:b/>
          <w:sz w:val="32"/>
        </w:rPr>
        <w:t xml:space="preserve">Long-term buprenorphine treatment for </w:t>
      </w:r>
      <w:proofErr w:type="spellStart"/>
      <w:r w:rsidRPr="00BE3D96">
        <w:rPr>
          <w:rFonts w:ascii="Times New Roman" w:hAnsi="Times New Roman" w:cs="Times New Roman"/>
          <w:b/>
          <w:sz w:val="32"/>
        </w:rPr>
        <w:t>kratom</w:t>
      </w:r>
      <w:proofErr w:type="spellEnd"/>
      <w:r w:rsidRPr="00BE3D96">
        <w:rPr>
          <w:rFonts w:ascii="Times New Roman" w:hAnsi="Times New Roman" w:cs="Times New Roman"/>
          <w:b/>
          <w:sz w:val="32"/>
        </w:rPr>
        <w:t xml:space="preserve"> use disorder: </w:t>
      </w:r>
      <w:r>
        <w:rPr>
          <w:rFonts w:ascii="Times New Roman" w:hAnsi="Times New Roman" w:cs="Times New Roman"/>
          <w:b/>
          <w:sz w:val="32"/>
        </w:rPr>
        <w:t>A</w:t>
      </w:r>
      <w:r w:rsidRPr="00BE3D96">
        <w:rPr>
          <w:rFonts w:ascii="Times New Roman" w:hAnsi="Times New Roman" w:cs="Times New Roman"/>
          <w:b/>
          <w:sz w:val="32"/>
        </w:rPr>
        <w:t xml:space="preserve"> case series</w:t>
      </w:r>
    </w:p>
    <w:p w:rsidR="00BE3D96" w:rsidRDefault="00BE3D96">
      <w:pPr>
        <w:rPr>
          <w:rFonts w:ascii="Times New Roman" w:hAnsi="Times New Roman" w:cs="Times New Roman"/>
          <w:sz w:val="24"/>
        </w:rPr>
      </w:pPr>
      <w:proofErr w:type="spellStart"/>
      <w:r w:rsidRPr="00BE3D96">
        <w:rPr>
          <w:rFonts w:ascii="Times New Roman" w:hAnsi="Times New Roman" w:cs="Times New Roman"/>
          <w:sz w:val="24"/>
        </w:rPr>
        <w:t>Viktoriya</w:t>
      </w:r>
      <w:proofErr w:type="spellEnd"/>
      <w:r w:rsidRPr="00BE3D96">
        <w:rPr>
          <w:rFonts w:ascii="Times New Roman" w:hAnsi="Times New Roman" w:cs="Times New Roman"/>
          <w:sz w:val="24"/>
        </w:rPr>
        <w:t xml:space="preserve"> R. </w:t>
      </w:r>
      <w:proofErr w:type="spellStart"/>
      <w:r w:rsidRPr="00BE3D96">
        <w:rPr>
          <w:rFonts w:ascii="Times New Roman" w:hAnsi="Times New Roman" w:cs="Times New Roman"/>
          <w:sz w:val="24"/>
        </w:rPr>
        <w:t>Broyan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r w:rsidRPr="00BE3D96">
        <w:rPr>
          <w:rFonts w:ascii="Times New Roman" w:hAnsi="Times New Roman" w:cs="Times New Roman"/>
          <w:sz w:val="24"/>
        </w:rPr>
        <w:t xml:space="preserve">Jeffrey T. </w:t>
      </w:r>
      <w:proofErr w:type="spellStart"/>
      <w:r w:rsidRPr="00BE3D96">
        <w:rPr>
          <w:rFonts w:ascii="Times New Roman" w:hAnsi="Times New Roman" w:cs="Times New Roman"/>
          <w:sz w:val="24"/>
        </w:rPr>
        <w:t>Allgaier</w:t>
      </w:r>
      <w:proofErr w:type="spellEnd"/>
    </w:p>
    <w:p w:rsidR="00BE3D96" w:rsidRPr="00BE3D96" w:rsidRDefault="00BE3D96">
      <w:pPr>
        <w:rPr>
          <w:rFonts w:ascii="Times New Roman" w:hAnsi="Times New Roman" w:cs="Times New Roman"/>
        </w:rPr>
      </w:pPr>
      <w:r w:rsidRPr="00BE3D96">
        <w:rPr>
          <w:rFonts w:ascii="Times New Roman" w:hAnsi="Times New Roman" w:cs="Times New Roman"/>
        </w:rPr>
        <w:t>Ideal Option, USA</w:t>
      </w:r>
    </w:p>
    <w:p w:rsidR="00BE3D96" w:rsidRPr="00BE3D96" w:rsidRDefault="00BE3D96" w:rsidP="00BE3D96">
      <w:pPr>
        <w:jc w:val="center"/>
        <w:rPr>
          <w:rFonts w:ascii="Times New Roman" w:hAnsi="Times New Roman" w:cs="Times New Roman"/>
          <w:b/>
          <w:sz w:val="24"/>
        </w:rPr>
      </w:pPr>
      <w:r w:rsidRPr="00BE3D96">
        <w:rPr>
          <w:rFonts w:ascii="Times New Roman" w:hAnsi="Times New Roman" w:cs="Times New Roman"/>
          <w:b/>
          <w:sz w:val="24"/>
        </w:rPr>
        <w:t>Abstract</w:t>
      </w:r>
    </w:p>
    <w:p w:rsidR="00BE3D96" w:rsidRPr="00BE3D96" w:rsidRDefault="00BE3D96" w:rsidP="00BE3D96">
      <w:pPr>
        <w:jc w:val="both"/>
        <w:rPr>
          <w:rFonts w:ascii="Times New Roman" w:hAnsi="Times New Roman" w:cs="Times New Roman"/>
          <w:sz w:val="20"/>
        </w:rPr>
      </w:pPr>
      <w:r w:rsidRPr="00BE3D96">
        <w:rPr>
          <w:rFonts w:ascii="Times New Roman" w:hAnsi="Times New Roman" w:cs="Times New Roman"/>
          <w:b/>
          <w:sz w:val="20"/>
        </w:rPr>
        <w:t>Background:</w:t>
      </w:r>
      <w:r w:rsidRPr="00BE3D96">
        <w:rPr>
          <w:rFonts w:ascii="Times New Roman" w:hAnsi="Times New Roman" w:cs="Times New Roman"/>
          <w:sz w:val="20"/>
        </w:rPr>
        <w:t xml:space="preserve"> Opioid agonist therapy with buprenorphine is an effective, evidence-based treatment for opioid use disorder. However, there has been increasing use of alternative substances which can still produce opioid-like effects. One of these substances is the herbal supplement </w:t>
      </w:r>
      <w:proofErr w:type="spellStart"/>
      <w:r w:rsidRPr="00BE3D96">
        <w:rPr>
          <w:rFonts w:ascii="Times New Roman" w:hAnsi="Times New Roman" w:cs="Times New Roman"/>
          <w:sz w:val="20"/>
        </w:rPr>
        <w:t>kratom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. The chemical composition of </w:t>
      </w:r>
      <w:proofErr w:type="spellStart"/>
      <w:r w:rsidRPr="00BE3D96">
        <w:rPr>
          <w:rFonts w:ascii="Times New Roman" w:hAnsi="Times New Roman" w:cs="Times New Roman"/>
          <w:sz w:val="20"/>
        </w:rPr>
        <w:t>kratom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, specifically </w:t>
      </w:r>
      <w:proofErr w:type="spellStart"/>
      <w:r w:rsidRPr="00BE3D96">
        <w:rPr>
          <w:rFonts w:ascii="Times New Roman" w:hAnsi="Times New Roman" w:cs="Times New Roman"/>
          <w:sz w:val="20"/>
        </w:rPr>
        <w:t>mitragynine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 and 7-hydroxymitragynine, has partial mu- opioid receptor agonist and antagonist effects at the kappa- and delta-opioid receptors. Due to its addictive potential, accessibility, and legal status, there </w:t>
      </w:r>
      <w:r w:rsidRPr="00BE3D96">
        <w:rPr>
          <w:rFonts w:ascii="Times New Roman" w:hAnsi="Times New Roman" w:cs="Times New Roman"/>
          <w:sz w:val="20"/>
        </w:rPr>
        <w:t>has</w:t>
      </w:r>
      <w:r w:rsidRPr="00BE3D96">
        <w:rPr>
          <w:rFonts w:ascii="Times New Roman" w:hAnsi="Times New Roman" w:cs="Times New Roman"/>
          <w:sz w:val="20"/>
        </w:rPr>
        <w:t xml:space="preserve"> been increasing cases of </w:t>
      </w:r>
      <w:proofErr w:type="spellStart"/>
      <w:r w:rsidRPr="00BE3D96">
        <w:rPr>
          <w:rFonts w:ascii="Times New Roman" w:hAnsi="Times New Roman" w:cs="Times New Roman"/>
          <w:sz w:val="20"/>
        </w:rPr>
        <w:t>Kratom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 Use Disorder </w:t>
      </w:r>
      <w:r w:rsidRPr="00BE3D96">
        <w:rPr>
          <w:rFonts w:ascii="Times New Roman" w:hAnsi="Times New Roman" w:cs="Times New Roman"/>
          <w:sz w:val="20"/>
        </w:rPr>
        <w:t>(KUD). Thus, it is important to consider effective treatment options for this nontraditional substance.</w:t>
      </w:r>
    </w:p>
    <w:p w:rsidR="00BE3D96" w:rsidRPr="00BE3D96" w:rsidRDefault="00BE3D96" w:rsidP="00BE3D96">
      <w:pPr>
        <w:jc w:val="both"/>
        <w:rPr>
          <w:rFonts w:ascii="Times New Roman" w:hAnsi="Times New Roman" w:cs="Times New Roman"/>
          <w:sz w:val="20"/>
        </w:rPr>
      </w:pPr>
      <w:r w:rsidRPr="00BE3D96">
        <w:rPr>
          <w:rFonts w:ascii="Times New Roman" w:hAnsi="Times New Roman" w:cs="Times New Roman"/>
          <w:b/>
          <w:sz w:val="20"/>
        </w:rPr>
        <w:t>Methods:</w:t>
      </w:r>
      <w:r w:rsidRPr="00BE3D96">
        <w:rPr>
          <w:rFonts w:ascii="Times New Roman" w:hAnsi="Times New Roman" w:cs="Times New Roman"/>
          <w:sz w:val="20"/>
        </w:rPr>
        <w:t xml:space="preserve"> Twenty-eight patients self-identified </w:t>
      </w:r>
      <w:proofErr w:type="spellStart"/>
      <w:r w:rsidRPr="00BE3D96">
        <w:rPr>
          <w:rFonts w:ascii="Times New Roman" w:hAnsi="Times New Roman" w:cs="Times New Roman"/>
          <w:sz w:val="20"/>
        </w:rPr>
        <w:t>kratom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 as their primary substance of use. Length of </w:t>
      </w:r>
      <w:proofErr w:type="spellStart"/>
      <w:r w:rsidRPr="00BE3D96">
        <w:rPr>
          <w:rFonts w:ascii="Times New Roman" w:hAnsi="Times New Roman" w:cs="Times New Roman"/>
          <w:sz w:val="20"/>
        </w:rPr>
        <w:t>kratom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 use ranged between 1 month and 25 years, with an average daily </w:t>
      </w:r>
      <w:proofErr w:type="spellStart"/>
      <w:r w:rsidRPr="00BE3D96">
        <w:rPr>
          <w:rFonts w:ascii="Times New Roman" w:hAnsi="Times New Roman" w:cs="Times New Roman"/>
          <w:sz w:val="20"/>
        </w:rPr>
        <w:t>kratom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 dose of 92 g/d. </w:t>
      </w:r>
      <w:proofErr w:type="gramStart"/>
      <w:r w:rsidRPr="00BE3D96">
        <w:rPr>
          <w:rFonts w:ascii="Times New Roman" w:hAnsi="Times New Roman" w:cs="Times New Roman"/>
          <w:sz w:val="20"/>
        </w:rPr>
        <w:t>Nine</w:t>
      </w:r>
      <w:proofErr w:type="gramEnd"/>
      <w:r w:rsidRPr="00BE3D96">
        <w:rPr>
          <w:rFonts w:ascii="Times New Roman" w:hAnsi="Times New Roman" w:cs="Times New Roman"/>
          <w:sz w:val="20"/>
        </w:rPr>
        <w:t xml:space="preserve"> </w:t>
      </w:r>
      <w:r w:rsidRPr="00BE3D96">
        <w:rPr>
          <w:rFonts w:ascii="Times New Roman" w:hAnsi="Times New Roman" w:cs="Times New Roman"/>
          <w:sz w:val="20"/>
        </w:rPr>
        <w:t>patients were inducted on a buprenorphine/naloxone dose between 1 and 6 mg, 18 patients between 8 and 16 mg, and 1 patient at 20 mg. Three patients were stabilized on a dose at 4 mg, 23 patients between 8 and 16 mg, 1 patient at 18 mg, and 1 patient at 20 mg.</w:t>
      </w:r>
      <w:bookmarkStart w:id="0" w:name="_GoBack"/>
      <w:bookmarkEnd w:id="0"/>
    </w:p>
    <w:p w:rsidR="00BE3D96" w:rsidRDefault="00BE3D96" w:rsidP="00BE3D96">
      <w:pPr>
        <w:jc w:val="both"/>
        <w:rPr>
          <w:rFonts w:ascii="Times New Roman" w:hAnsi="Times New Roman" w:cs="Times New Roman"/>
          <w:sz w:val="20"/>
        </w:rPr>
      </w:pPr>
      <w:r w:rsidRPr="00BE3D96">
        <w:rPr>
          <w:rFonts w:ascii="Times New Roman" w:hAnsi="Times New Roman" w:cs="Times New Roman"/>
          <w:b/>
          <w:sz w:val="20"/>
        </w:rPr>
        <w:t>Results:</w:t>
      </w:r>
      <w:r w:rsidRPr="00BE3D96">
        <w:rPr>
          <w:rFonts w:ascii="Times New Roman" w:hAnsi="Times New Roman" w:cs="Times New Roman"/>
          <w:sz w:val="20"/>
        </w:rPr>
        <w:t xml:space="preserve"> There was no correlation between stabilizing dose of buprenorphine/naloxone and past daily dose of </w:t>
      </w:r>
      <w:proofErr w:type="spellStart"/>
      <w:r w:rsidRPr="00BE3D96">
        <w:rPr>
          <w:rFonts w:ascii="Times New Roman" w:hAnsi="Times New Roman" w:cs="Times New Roman"/>
          <w:sz w:val="20"/>
        </w:rPr>
        <w:t>kratom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. As of March 2020, 20 of the 28 patients were still receiving outpatient buprenorphine/naloxone treatment. Six patients were lost to follow-up due to missed appointments, 1 tapered down to 0.25 mg of buprenorphine/naloxone and self-discharged, and 1 moved out of town. The rest have remained in treatment from 5 to 22 months, with an average duration of 11 months. Of the 28 patients, 68%, 82%, and 82% had negative test results for </w:t>
      </w:r>
      <w:proofErr w:type="spellStart"/>
      <w:r w:rsidRPr="00BE3D96">
        <w:rPr>
          <w:rFonts w:ascii="Times New Roman" w:hAnsi="Times New Roman" w:cs="Times New Roman"/>
          <w:sz w:val="20"/>
        </w:rPr>
        <w:t>mitragynine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 at 4, 8, and 12 weeks of treatment, respectively.</w:t>
      </w:r>
    </w:p>
    <w:p w:rsidR="00BE3D96" w:rsidRPr="00BE3D96" w:rsidRDefault="00BE3D96" w:rsidP="00BE3D96">
      <w:pPr>
        <w:rPr>
          <w:rFonts w:ascii="Times New Roman" w:hAnsi="Times New Roman" w:cs="Times New Roman"/>
          <w:b/>
          <w:sz w:val="24"/>
        </w:rPr>
      </w:pPr>
      <w:r w:rsidRPr="00BE3D96">
        <w:rPr>
          <w:rFonts w:ascii="Times New Roman" w:hAnsi="Times New Roman" w:cs="Times New Roman"/>
          <w:b/>
          <w:sz w:val="24"/>
        </w:rPr>
        <w:t>Importance of Research</w:t>
      </w:r>
    </w:p>
    <w:p w:rsidR="00BE3D96" w:rsidRDefault="00BE3D96" w:rsidP="00BE3D96">
      <w:pPr>
        <w:jc w:val="both"/>
        <w:rPr>
          <w:rFonts w:ascii="Times New Roman" w:hAnsi="Times New Roman" w:cs="Times New Roman"/>
          <w:sz w:val="20"/>
        </w:rPr>
      </w:pPr>
      <w:r w:rsidRPr="00BE3D96">
        <w:rPr>
          <w:rFonts w:ascii="Times New Roman" w:hAnsi="Times New Roman" w:cs="Times New Roman"/>
          <w:sz w:val="20"/>
        </w:rPr>
        <w:t xml:space="preserve">As the use of non-traditional opioids increases, it is important to understand effective treatment options. To our knowledge, this is the largest case series to explore buprenorphine/naloxone treatment for </w:t>
      </w:r>
      <w:proofErr w:type="spellStart"/>
      <w:r w:rsidRPr="00BE3D96">
        <w:rPr>
          <w:rFonts w:ascii="Times New Roman" w:hAnsi="Times New Roman" w:cs="Times New Roman"/>
          <w:sz w:val="20"/>
        </w:rPr>
        <w:t>kratom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 use disorder. Our findings suggest buprenorphine/naloxone can be used as an effective treatment option for KUD. This research can provide guidance for future studies to build upon and can help shape clinical practice as well.</w:t>
      </w:r>
    </w:p>
    <w:p w:rsidR="00BE3D96" w:rsidRPr="00BE3D96" w:rsidRDefault="00BE3D96" w:rsidP="00BE3D96">
      <w:pPr>
        <w:rPr>
          <w:rFonts w:ascii="Times New Roman" w:hAnsi="Times New Roman" w:cs="Times New Roman"/>
          <w:b/>
          <w:sz w:val="24"/>
        </w:rPr>
      </w:pPr>
      <w:r w:rsidRPr="00BE3D96">
        <w:rPr>
          <w:rFonts w:ascii="Times New Roman" w:hAnsi="Times New Roman" w:cs="Times New Roman"/>
          <w:b/>
          <w:sz w:val="24"/>
        </w:rPr>
        <w:t>Biography</w:t>
      </w:r>
    </w:p>
    <w:p w:rsidR="00BE3D96" w:rsidRPr="00BE3D96" w:rsidRDefault="00BE3D96" w:rsidP="00BE3D96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BE3D96">
        <w:rPr>
          <w:rFonts w:ascii="Times New Roman" w:hAnsi="Times New Roman" w:cs="Times New Roman"/>
          <w:sz w:val="20"/>
        </w:rPr>
        <w:t>Viktoriya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E3D96">
        <w:rPr>
          <w:rFonts w:ascii="Times New Roman" w:hAnsi="Times New Roman" w:cs="Times New Roman"/>
          <w:sz w:val="20"/>
        </w:rPr>
        <w:t>Broyan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 studied at Central Washington University, WA, USA</w:t>
      </w:r>
      <w:r>
        <w:rPr>
          <w:rFonts w:ascii="Times New Roman" w:hAnsi="Times New Roman" w:cs="Times New Roman"/>
          <w:sz w:val="20"/>
        </w:rPr>
        <w:t xml:space="preserve"> </w:t>
      </w:r>
      <w:r w:rsidRPr="00BE3D96">
        <w:rPr>
          <w:rFonts w:ascii="Times New Roman" w:hAnsi="Times New Roman" w:cs="Times New Roman"/>
          <w:sz w:val="20"/>
        </w:rPr>
        <w:t>and graduated with an MS in Experimental Psychology in 2019. She has worked with Ideal Option, a multi-center, multi-state medical practice that treats patients for substance use disorders (primarily opioid use disorder) in an office-based setting, for eight years.</w:t>
      </w:r>
      <w:r>
        <w:rPr>
          <w:rFonts w:ascii="Times New Roman" w:hAnsi="Times New Roman" w:cs="Times New Roman"/>
          <w:sz w:val="20"/>
        </w:rPr>
        <w:t xml:space="preserve"> </w:t>
      </w:r>
      <w:r w:rsidRPr="00BE3D96">
        <w:rPr>
          <w:rFonts w:ascii="Times New Roman" w:hAnsi="Times New Roman" w:cs="Times New Roman"/>
          <w:sz w:val="20"/>
        </w:rPr>
        <w:t xml:space="preserve">Over the last three years she has been involved in various research projects and case studies at Ideal Option involving various substances (buprenorphine, </w:t>
      </w:r>
      <w:proofErr w:type="spellStart"/>
      <w:r w:rsidRPr="00BE3D96">
        <w:rPr>
          <w:rFonts w:ascii="Times New Roman" w:hAnsi="Times New Roman" w:cs="Times New Roman"/>
          <w:sz w:val="20"/>
        </w:rPr>
        <w:t>loperamide</w:t>
      </w:r>
      <w:proofErr w:type="spellEnd"/>
      <w:r w:rsidRPr="00BE3D9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BE3D96">
        <w:rPr>
          <w:rFonts w:ascii="Times New Roman" w:hAnsi="Times New Roman" w:cs="Times New Roman"/>
          <w:sz w:val="20"/>
        </w:rPr>
        <w:t>kratom</w:t>
      </w:r>
      <w:proofErr w:type="spellEnd"/>
      <w:r w:rsidRPr="00BE3D96">
        <w:rPr>
          <w:rFonts w:ascii="Times New Roman" w:hAnsi="Times New Roman" w:cs="Times New Roman"/>
          <w:sz w:val="20"/>
        </w:rPr>
        <w:t>, methamphetamines, fentanyl, gabapentin, etc.).</w:t>
      </w:r>
    </w:p>
    <w:sectPr w:rsidR="00BE3D96" w:rsidRPr="00BE3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D96"/>
    <w:rsid w:val="00474203"/>
    <w:rsid w:val="00535872"/>
    <w:rsid w:val="00924B33"/>
    <w:rsid w:val="00BE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2022-10-10T08:48:00Z</dcterms:created>
  <dcterms:modified xsi:type="dcterms:W3CDTF">2022-10-10T08:54:00Z</dcterms:modified>
</cp:coreProperties>
</file>