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27EDC">
      <w:pPr>
        <w:rPr>
          <w:rFonts w:ascii="Times New Roman" w:hAnsi="Times New Roman" w:cs="Times New Roman"/>
          <w:b/>
          <w:sz w:val="32"/>
        </w:rPr>
      </w:pPr>
      <w:r w:rsidRPr="00C27EDC">
        <w:rPr>
          <w:rFonts w:ascii="Times New Roman" w:hAnsi="Times New Roman" w:cs="Times New Roman"/>
          <w:b/>
          <w:sz w:val="32"/>
        </w:rPr>
        <w:t xml:space="preserve">The emergency </w:t>
      </w:r>
      <w:proofErr w:type="gramStart"/>
      <w:r w:rsidRPr="00C27EDC">
        <w:rPr>
          <w:rFonts w:ascii="Times New Roman" w:hAnsi="Times New Roman" w:cs="Times New Roman"/>
          <w:b/>
          <w:sz w:val="32"/>
        </w:rPr>
        <w:t>department trigger</w:t>
      </w:r>
      <w:proofErr w:type="gramEnd"/>
      <w:r w:rsidRPr="00C27EDC">
        <w:rPr>
          <w:rFonts w:ascii="Times New Roman" w:hAnsi="Times New Roman" w:cs="Times New Roman"/>
          <w:b/>
          <w:sz w:val="32"/>
        </w:rPr>
        <w:t xml:space="preserve"> tool implementation</w:t>
      </w:r>
    </w:p>
    <w:p w:rsidR="00C27EDC" w:rsidRDefault="00C27EDC">
      <w:pPr>
        <w:rPr>
          <w:rFonts w:ascii="Times New Roman" w:hAnsi="Times New Roman" w:cs="Times New Roman"/>
          <w:sz w:val="24"/>
        </w:rPr>
      </w:pPr>
      <w:proofErr w:type="spellStart"/>
      <w:r w:rsidRPr="00C27EDC">
        <w:rPr>
          <w:rFonts w:ascii="Times New Roman" w:hAnsi="Times New Roman" w:cs="Times New Roman"/>
          <w:sz w:val="24"/>
        </w:rPr>
        <w:t>Shaghayegh</w:t>
      </w:r>
      <w:proofErr w:type="spellEnd"/>
      <w:r w:rsidRPr="00C27EDC">
        <w:rPr>
          <w:rFonts w:ascii="Times New Roman" w:hAnsi="Times New Roman" w:cs="Times New Roman"/>
          <w:sz w:val="24"/>
        </w:rPr>
        <w:t xml:space="preserve"> </w:t>
      </w:r>
      <w:proofErr w:type="spellStart"/>
      <w:r w:rsidRPr="00C27EDC">
        <w:rPr>
          <w:rFonts w:ascii="Times New Roman" w:hAnsi="Times New Roman" w:cs="Times New Roman"/>
          <w:sz w:val="24"/>
        </w:rPr>
        <w:t>Rahmani</w:t>
      </w:r>
      <w:proofErr w:type="spellEnd"/>
    </w:p>
    <w:p w:rsidR="00C27EDC" w:rsidRPr="00C27EDC" w:rsidRDefault="00C27EDC">
      <w:pPr>
        <w:rPr>
          <w:rFonts w:ascii="Times New Roman" w:hAnsi="Times New Roman" w:cs="Times New Roman"/>
        </w:rPr>
      </w:pPr>
      <w:r w:rsidRPr="00C27EDC">
        <w:rPr>
          <w:rFonts w:ascii="Times New Roman" w:hAnsi="Times New Roman" w:cs="Times New Roman"/>
        </w:rPr>
        <w:t>Islamic Azad University, Iran</w:t>
      </w:r>
    </w:p>
    <w:p w:rsidR="00C27EDC" w:rsidRPr="00C27EDC" w:rsidRDefault="00C27EDC" w:rsidP="00C27EDC">
      <w:pPr>
        <w:jc w:val="center"/>
        <w:rPr>
          <w:rFonts w:ascii="Times New Roman" w:hAnsi="Times New Roman" w:cs="Times New Roman"/>
          <w:b/>
          <w:sz w:val="24"/>
        </w:rPr>
      </w:pPr>
      <w:r w:rsidRPr="00C27EDC">
        <w:rPr>
          <w:rFonts w:ascii="Times New Roman" w:hAnsi="Times New Roman" w:cs="Times New Roman"/>
          <w:b/>
          <w:sz w:val="24"/>
        </w:rPr>
        <w:t>Abstract</w:t>
      </w:r>
    </w:p>
    <w:p w:rsidR="00C27EDC" w:rsidRPr="00C27EDC" w:rsidRDefault="00C27EDC" w:rsidP="00C27EDC">
      <w:pPr>
        <w:jc w:val="both"/>
        <w:rPr>
          <w:rFonts w:ascii="Times New Roman" w:hAnsi="Times New Roman" w:cs="Times New Roman"/>
          <w:sz w:val="20"/>
        </w:rPr>
      </w:pPr>
      <w:r w:rsidRPr="00C27EDC">
        <w:rPr>
          <w:rFonts w:ascii="Times New Roman" w:hAnsi="Times New Roman" w:cs="Times New Roman"/>
          <w:b/>
          <w:sz w:val="20"/>
        </w:rPr>
        <w:t>Introduction:</w:t>
      </w:r>
      <w:r w:rsidRPr="00C27EDC">
        <w:rPr>
          <w:rFonts w:ascii="Times New Roman" w:hAnsi="Times New Roman" w:cs="Times New Roman"/>
          <w:sz w:val="20"/>
        </w:rPr>
        <w:t xml:space="preserve"> Trigger Tool (TT) was first designed by the Institute for Health Improvement. In 2009, a revised version of TT was developed for the emergency, surgery, pediatric and intensive care units. In this paper we share the executive experience of using </w:t>
      </w:r>
      <w:r w:rsidR="00275599" w:rsidRPr="00C27EDC">
        <w:rPr>
          <w:rFonts w:ascii="Times New Roman" w:hAnsi="Times New Roman" w:cs="Times New Roman"/>
          <w:sz w:val="20"/>
        </w:rPr>
        <w:t xml:space="preserve">Emergency Department Trigger Tool </w:t>
      </w:r>
      <w:r w:rsidRPr="00C27EDC">
        <w:rPr>
          <w:rFonts w:ascii="Times New Roman" w:hAnsi="Times New Roman" w:cs="Times New Roman"/>
          <w:sz w:val="20"/>
        </w:rPr>
        <w:t>(EDTT)</w:t>
      </w:r>
      <w:r>
        <w:rPr>
          <w:rFonts w:ascii="Times New Roman" w:hAnsi="Times New Roman" w:cs="Times New Roman"/>
          <w:sz w:val="20"/>
        </w:rPr>
        <w:t xml:space="preserve"> </w:t>
      </w:r>
      <w:r w:rsidRPr="00C27EDC">
        <w:rPr>
          <w:rFonts w:ascii="Times New Roman" w:hAnsi="Times New Roman" w:cs="Times New Roman"/>
          <w:sz w:val="20"/>
        </w:rPr>
        <w:t>in our academic emergency department.</w:t>
      </w:r>
    </w:p>
    <w:p w:rsidR="00C27EDC" w:rsidRPr="00C27EDC" w:rsidRDefault="00C27EDC" w:rsidP="00C27EDC">
      <w:pPr>
        <w:jc w:val="both"/>
        <w:rPr>
          <w:rFonts w:ascii="Times New Roman" w:hAnsi="Times New Roman" w:cs="Times New Roman"/>
          <w:sz w:val="20"/>
        </w:rPr>
      </w:pPr>
      <w:r w:rsidRPr="00C27EDC">
        <w:rPr>
          <w:rFonts w:ascii="Times New Roman" w:hAnsi="Times New Roman" w:cs="Times New Roman"/>
          <w:b/>
          <w:sz w:val="20"/>
        </w:rPr>
        <w:t>Method:</w:t>
      </w:r>
      <w:r w:rsidRPr="00C27EDC">
        <w:rPr>
          <w:rFonts w:ascii="Times New Roman" w:hAnsi="Times New Roman" w:cs="Times New Roman"/>
          <w:sz w:val="20"/>
        </w:rPr>
        <w:t xml:space="preserve"> This is a retrospective observational study using data from one </w:t>
      </w:r>
      <w:r w:rsidRPr="00C27EDC">
        <w:rPr>
          <w:rFonts w:ascii="Times New Roman" w:hAnsi="Times New Roman" w:cs="Times New Roman"/>
          <w:sz w:val="20"/>
        </w:rPr>
        <w:t>month</w:t>
      </w:r>
      <w:r w:rsidRPr="00C27EDC">
        <w:rPr>
          <w:rFonts w:ascii="Times New Roman" w:hAnsi="Times New Roman" w:cs="Times New Roman"/>
          <w:sz w:val="20"/>
        </w:rPr>
        <w:t xml:space="preserve"> of visits to an academic, tertiary emergenc</w:t>
      </w:r>
      <w:r>
        <w:rPr>
          <w:rFonts w:ascii="Times New Roman" w:hAnsi="Times New Roman" w:cs="Times New Roman"/>
          <w:sz w:val="20"/>
        </w:rPr>
        <w:t>y department by patients aged ≥</w:t>
      </w:r>
      <w:r w:rsidRPr="00C27EDC">
        <w:rPr>
          <w:rFonts w:ascii="Times New Roman" w:hAnsi="Times New Roman" w:cs="Times New Roman"/>
          <w:sz w:val="20"/>
        </w:rPr>
        <w:t>18 years (5600 records). We randomly based on random block method evaluated 100 records with at least 6 hours of hospital stay. In this study two review team</w:t>
      </w:r>
      <w:r>
        <w:rPr>
          <w:rFonts w:ascii="Times New Roman" w:hAnsi="Times New Roman" w:cs="Times New Roman"/>
          <w:sz w:val="20"/>
        </w:rPr>
        <w:t>s</w:t>
      </w:r>
      <w:r w:rsidRPr="00C27EDC">
        <w:rPr>
          <w:rFonts w:ascii="Times New Roman" w:hAnsi="Times New Roman" w:cs="Times New Roman"/>
          <w:sz w:val="20"/>
        </w:rPr>
        <w:t xml:space="preserve"> evaluated medical records.</w:t>
      </w:r>
      <w:r w:rsidR="005F044A">
        <w:rPr>
          <w:rFonts w:ascii="Times New Roman" w:hAnsi="Times New Roman" w:cs="Times New Roman"/>
          <w:sz w:val="20"/>
        </w:rPr>
        <w:t xml:space="preserve"> </w:t>
      </w:r>
      <w:r w:rsidRPr="00C27EDC">
        <w:rPr>
          <w:rFonts w:ascii="Times New Roman" w:hAnsi="Times New Roman" w:cs="Times New Roman"/>
          <w:sz w:val="20"/>
        </w:rPr>
        <w:t xml:space="preserve">Each team </w:t>
      </w:r>
      <w:r w:rsidRPr="00C27EDC">
        <w:rPr>
          <w:rFonts w:ascii="Times New Roman" w:hAnsi="Times New Roman" w:cs="Times New Roman"/>
          <w:sz w:val="20"/>
        </w:rPr>
        <w:t>consists</w:t>
      </w:r>
      <w:r w:rsidRPr="00C27EDC">
        <w:rPr>
          <w:rFonts w:ascii="Times New Roman" w:hAnsi="Times New Roman" w:cs="Times New Roman"/>
          <w:sz w:val="20"/>
        </w:rPr>
        <w:t xml:space="preserve"> of an experienced emergency medicine specialist and one </w:t>
      </w:r>
      <w:r w:rsidRPr="00C27EDC">
        <w:rPr>
          <w:rFonts w:ascii="Times New Roman" w:hAnsi="Times New Roman" w:cs="Times New Roman"/>
          <w:sz w:val="20"/>
        </w:rPr>
        <w:t xml:space="preserve">Registered Nurse </w:t>
      </w:r>
      <w:r w:rsidRPr="00C27EDC">
        <w:rPr>
          <w:rFonts w:ascii="Times New Roman" w:hAnsi="Times New Roman" w:cs="Times New Roman"/>
          <w:sz w:val="20"/>
        </w:rPr>
        <w:t xml:space="preserve">(RN) with great experience within emergency department care. Records not containing any triggers or containing only false positive triggers, i.e. triggers not indicating AEs were not forwarded to physicians for review but the outcome was documented and included in the analysis. The RNs also recorded demographics data, and entered all patients into the database. No time restriction existed in this review stage. A similar three-point </w:t>
      </w:r>
      <w:proofErr w:type="spellStart"/>
      <w:r w:rsidRPr="00C27EDC">
        <w:rPr>
          <w:rFonts w:ascii="Times New Roman" w:hAnsi="Times New Roman" w:cs="Times New Roman"/>
          <w:sz w:val="20"/>
        </w:rPr>
        <w:t>Likert</w:t>
      </w:r>
      <w:proofErr w:type="spellEnd"/>
      <w:r w:rsidRPr="00C27EDC">
        <w:rPr>
          <w:rFonts w:ascii="Times New Roman" w:hAnsi="Times New Roman" w:cs="Times New Roman"/>
          <w:sz w:val="20"/>
        </w:rPr>
        <w:t xml:space="preserve"> scale was used to investigate the preventability of the </w:t>
      </w:r>
      <w:r w:rsidRPr="00C27EDC">
        <w:rPr>
          <w:rFonts w:ascii="Times New Roman" w:hAnsi="Times New Roman" w:cs="Times New Roman"/>
          <w:sz w:val="20"/>
        </w:rPr>
        <w:t xml:space="preserve">Adverse Events </w:t>
      </w:r>
      <w:r w:rsidRPr="00C27EDC">
        <w:rPr>
          <w:rFonts w:ascii="Times New Roman" w:hAnsi="Times New Roman" w:cs="Times New Roman"/>
          <w:sz w:val="20"/>
        </w:rPr>
        <w:t>(AEs).</w:t>
      </w:r>
    </w:p>
    <w:p w:rsidR="00C27EDC" w:rsidRPr="00C27EDC" w:rsidRDefault="00C27EDC" w:rsidP="00C27EDC">
      <w:pPr>
        <w:jc w:val="both"/>
        <w:rPr>
          <w:rFonts w:ascii="Times New Roman" w:hAnsi="Times New Roman" w:cs="Times New Roman"/>
          <w:sz w:val="20"/>
        </w:rPr>
      </w:pPr>
      <w:r w:rsidRPr="00C27EDC">
        <w:rPr>
          <w:rFonts w:ascii="Times New Roman" w:hAnsi="Times New Roman" w:cs="Times New Roman"/>
          <w:b/>
          <w:sz w:val="20"/>
        </w:rPr>
        <w:t>Results:</w:t>
      </w:r>
      <w:r w:rsidRPr="00C27EDC">
        <w:rPr>
          <w:rFonts w:ascii="Times New Roman" w:hAnsi="Times New Roman" w:cs="Times New Roman"/>
          <w:sz w:val="20"/>
        </w:rPr>
        <w:t xml:space="preserve"> In this study records of 100 patients were reviewed in a two stage review process. 39 patients (39%) were female and 61 ones (61%) were male. The difference in finding triggers was estimated about 5%. And overall Inter-Observer Agreement (IOA) was 0.828. From 100 evaluated cases, 82 files had triggers and 18 had not. Mean age of our patients was 62.1</w:t>
      </w:r>
      <w:r>
        <w:rPr>
          <w:rFonts w:ascii="Times New Roman" w:hAnsi="Times New Roman" w:cs="Times New Roman"/>
          <w:sz w:val="20"/>
        </w:rPr>
        <w:t xml:space="preserve"> </w:t>
      </w:r>
      <w:r w:rsidRPr="00C27EDC">
        <w:rPr>
          <w:rFonts w:ascii="Times New Roman" w:hAnsi="Times New Roman" w:cs="Times New Roman"/>
          <w:sz w:val="20"/>
        </w:rPr>
        <w:t>±</w:t>
      </w:r>
      <w:r>
        <w:rPr>
          <w:rFonts w:ascii="Times New Roman" w:hAnsi="Times New Roman" w:cs="Times New Roman"/>
          <w:sz w:val="20"/>
        </w:rPr>
        <w:t xml:space="preserve"> </w:t>
      </w:r>
      <w:r w:rsidRPr="00C27EDC">
        <w:rPr>
          <w:rFonts w:ascii="Times New Roman" w:hAnsi="Times New Roman" w:cs="Times New Roman"/>
          <w:sz w:val="20"/>
        </w:rPr>
        <w:t>7.2 years. 142 triggers were identified in 82 files. Patients mean age was 62</w:t>
      </w:r>
      <w:r>
        <w:rPr>
          <w:rFonts w:ascii="Times New Roman" w:hAnsi="Times New Roman" w:cs="Times New Roman"/>
          <w:sz w:val="20"/>
        </w:rPr>
        <w:t xml:space="preserve"> </w:t>
      </w:r>
      <w:r w:rsidRPr="00C27EDC">
        <w:rPr>
          <w:rFonts w:ascii="Times New Roman" w:hAnsi="Times New Roman" w:cs="Times New Roman"/>
          <w:sz w:val="20"/>
        </w:rPr>
        <w:t>±</w:t>
      </w:r>
      <w:r>
        <w:rPr>
          <w:rFonts w:ascii="Times New Roman" w:hAnsi="Times New Roman" w:cs="Times New Roman"/>
          <w:sz w:val="20"/>
        </w:rPr>
        <w:t xml:space="preserve"> </w:t>
      </w:r>
      <w:r w:rsidRPr="00C27EDC">
        <w:rPr>
          <w:rFonts w:ascii="Times New Roman" w:hAnsi="Times New Roman" w:cs="Times New Roman"/>
          <w:sz w:val="20"/>
        </w:rPr>
        <w:t>7.2 years. 19 medical records (23.1%) contained more than one trigger.</w:t>
      </w:r>
      <w:r w:rsidR="005F044A">
        <w:rPr>
          <w:rFonts w:ascii="Times New Roman" w:hAnsi="Times New Roman" w:cs="Times New Roman"/>
          <w:sz w:val="20"/>
        </w:rPr>
        <w:t xml:space="preserve"> </w:t>
      </w:r>
    </w:p>
    <w:p w:rsidR="00C27EDC" w:rsidRPr="00C27EDC" w:rsidRDefault="00C27EDC" w:rsidP="00C27EDC">
      <w:pPr>
        <w:jc w:val="both"/>
        <w:rPr>
          <w:rFonts w:ascii="Times New Roman" w:hAnsi="Times New Roman" w:cs="Times New Roman"/>
          <w:sz w:val="20"/>
        </w:rPr>
      </w:pPr>
      <w:r w:rsidRPr="00C27EDC">
        <w:rPr>
          <w:rFonts w:ascii="Times New Roman" w:hAnsi="Times New Roman" w:cs="Times New Roman"/>
          <w:b/>
          <w:sz w:val="20"/>
        </w:rPr>
        <w:t>Conclusion:</w:t>
      </w:r>
      <w:r w:rsidRPr="00C27EDC">
        <w:rPr>
          <w:rFonts w:ascii="Times New Roman" w:hAnsi="Times New Roman" w:cs="Times New Roman"/>
          <w:sz w:val="20"/>
        </w:rPr>
        <w:t xml:space="preserve"> Using EDTT help health care providers to perform an accurate and comprehensive review to evaluate quality of care.</w:t>
      </w:r>
    </w:p>
    <w:p w:rsidR="00C27EDC" w:rsidRDefault="00C27EDC" w:rsidP="00C27EDC">
      <w:pPr>
        <w:jc w:val="both"/>
        <w:rPr>
          <w:rFonts w:ascii="Times New Roman" w:hAnsi="Times New Roman" w:cs="Times New Roman"/>
          <w:sz w:val="20"/>
        </w:rPr>
      </w:pPr>
      <w:r w:rsidRPr="00C27EDC">
        <w:rPr>
          <w:rFonts w:ascii="Times New Roman" w:hAnsi="Times New Roman" w:cs="Times New Roman"/>
          <w:b/>
          <w:sz w:val="20"/>
        </w:rPr>
        <w:t>Key</w:t>
      </w:r>
      <w:r w:rsidRPr="00C27EDC">
        <w:rPr>
          <w:rFonts w:ascii="Times New Roman" w:hAnsi="Times New Roman" w:cs="Times New Roman"/>
          <w:b/>
          <w:sz w:val="20"/>
        </w:rPr>
        <w:t>words:</w:t>
      </w:r>
      <w:r w:rsidRPr="00C27EDC">
        <w:rPr>
          <w:rFonts w:ascii="Times New Roman" w:hAnsi="Times New Roman" w:cs="Times New Roman"/>
          <w:sz w:val="20"/>
        </w:rPr>
        <w:t xml:space="preserve"> </w:t>
      </w:r>
      <w:r w:rsidRPr="00C27EDC">
        <w:rPr>
          <w:rFonts w:ascii="Times New Roman" w:hAnsi="Times New Roman" w:cs="Times New Roman"/>
          <w:sz w:val="20"/>
        </w:rPr>
        <w:t xml:space="preserve">Trigger </w:t>
      </w:r>
      <w:r w:rsidRPr="00C27EDC">
        <w:rPr>
          <w:rFonts w:ascii="Times New Roman" w:hAnsi="Times New Roman" w:cs="Times New Roman"/>
          <w:sz w:val="20"/>
        </w:rPr>
        <w:t xml:space="preserve">tool, </w:t>
      </w:r>
      <w:r w:rsidRPr="00C27EDC">
        <w:rPr>
          <w:rFonts w:ascii="Times New Roman" w:hAnsi="Times New Roman" w:cs="Times New Roman"/>
          <w:sz w:val="20"/>
        </w:rPr>
        <w:t xml:space="preserve">Emergency </w:t>
      </w:r>
      <w:r w:rsidRPr="00C27EDC">
        <w:rPr>
          <w:rFonts w:ascii="Times New Roman" w:hAnsi="Times New Roman" w:cs="Times New Roman"/>
          <w:sz w:val="20"/>
        </w:rPr>
        <w:t xml:space="preserve">department, </w:t>
      </w:r>
      <w:proofErr w:type="gramStart"/>
      <w:r w:rsidRPr="00C27EDC">
        <w:rPr>
          <w:rFonts w:ascii="Times New Roman" w:hAnsi="Times New Roman" w:cs="Times New Roman"/>
          <w:sz w:val="20"/>
        </w:rPr>
        <w:t>Adverse</w:t>
      </w:r>
      <w:proofErr w:type="gramEnd"/>
      <w:r w:rsidRPr="00C27EDC">
        <w:rPr>
          <w:rFonts w:ascii="Times New Roman" w:hAnsi="Times New Roman" w:cs="Times New Roman"/>
          <w:sz w:val="20"/>
        </w:rPr>
        <w:t xml:space="preserve"> </w:t>
      </w:r>
      <w:r w:rsidRPr="00C27EDC">
        <w:rPr>
          <w:rFonts w:ascii="Times New Roman" w:hAnsi="Times New Roman" w:cs="Times New Roman"/>
          <w:sz w:val="20"/>
        </w:rPr>
        <w:t>event</w:t>
      </w:r>
      <w:r>
        <w:rPr>
          <w:rFonts w:ascii="Times New Roman" w:hAnsi="Times New Roman" w:cs="Times New Roman"/>
          <w:sz w:val="20"/>
        </w:rPr>
        <w:t>.</w:t>
      </w:r>
    </w:p>
    <w:p w:rsidR="00C27EDC" w:rsidRPr="00C27EDC" w:rsidRDefault="00C27EDC" w:rsidP="00C27EDC">
      <w:pPr>
        <w:rPr>
          <w:rFonts w:ascii="Times New Roman" w:hAnsi="Times New Roman" w:cs="Times New Roman"/>
          <w:b/>
          <w:sz w:val="24"/>
        </w:rPr>
      </w:pPr>
      <w:r w:rsidRPr="00C27EDC">
        <w:rPr>
          <w:rFonts w:ascii="Times New Roman" w:hAnsi="Times New Roman" w:cs="Times New Roman"/>
          <w:b/>
          <w:sz w:val="24"/>
        </w:rPr>
        <w:t>Biography</w:t>
      </w:r>
    </w:p>
    <w:p w:rsidR="00C27EDC" w:rsidRPr="00C27EDC" w:rsidRDefault="00C27EDC" w:rsidP="00C27EDC">
      <w:pPr>
        <w:jc w:val="both"/>
        <w:rPr>
          <w:rFonts w:ascii="Times New Roman" w:hAnsi="Times New Roman" w:cs="Times New Roman"/>
          <w:sz w:val="20"/>
        </w:rPr>
      </w:pPr>
      <w:proofErr w:type="spellStart"/>
      <w:r w:rsidRPr="00C27EDC">
        <w:rPr>
          <w:rFonts w:ascii="Times New Roman" w:hAnsi="Times New Roman" w:cs="Times New Roman"/>
          <w:sz w:val="20"/>
        </w:rPr>
        <w:t>Shaghayegh</w:t>
      </w:r>
      <w:proofErr w:type="spellEnd"/>
      <w:r w:rsidRPr="00C27EDC">
        <w:rPr>
          <w:rFonts w:ascii="Times New Roman" w:hAnsi="Times New Roman" w:cs="Times New Roman"/>
          <w:sz w:val="20"/>
        </w:rPr>
        <w:t xml:space="preserve"> </w:t>
      </w:r>
      <w:proofErr w:type="spellStart"/>
      <w:r w:rsidRPr="00C27EDC">
        <w:rPr>
          <w:rFonts w:ascii="Times New Roman" w:hAnsi="Times New Roman" w:cs="Times New Roman"/>
          <w:sz w:val="20"/>
        </w:rPr>
        <w:t>Rahmani</w:t>
      </w:r>
      <w:proofErr w:type="spellEnd"/>
      <w:r w:rsidRPr="00C27EDC">
        <w:rPr>
          <w:rFonts w:ascii="Times New Roman" w:hAnsi="Times New Roman" w:cs="Times New Roman"/>
          <w:sz w:val="20"/>
        </w:rPr>
        <w:t xml:space="preserve"> has received her master in medicine during 2001- 2008, and her specialty in Emergency Medicine during 2015-2019 at Mashhad University.</w:t>
      </w:r>
      <w:r w:rsidR="005F044A">
        <w:rPr>
          <w:rFonts w:ascii="Times New Roman" w:hAnsi="Times New Roman" w:cs="Times New Roman"/>
          <w:sz w:val="20"/>
        </w:rPr>
        <w:t xml:space="preserve"> </w:t>
      </w:r>
      <w:r w:rsidRPr="00C27EDC">
        <w:rPr>
          <w:rFonts w:ascii="Times New Roman" w:hAnsi="Times New Roman" w:cs="Times New Roman"/>
          <w:sz w:val="20"/>
        </w:rPr>
        <w:t xml:space="preserve">Currently, she is working as assistant Professor in Mashhad Islamic Azad University of Medical Sciences. She is the Executive Director of the Islamic Azad university </w:t>
      </w:r>
      <w:bookmarkStart w:id="0" w:name="_GoBack"/>
      <w:bookmarkEnd w:id="0"/>
      <w:r w:rsidR="006B50D5" w:rsidRPr="00C27EDC">
        <w:rPr>
          <w:rFonts w:ascii="Times New Roman" w:hAnsi="Times New Roman" w:cs="Times New Roman"/>
          <w:sz w:val="20"/>
        </w:rPr>
        <w:t>journal;</w:t>
      </w:r>
      <w:r w:rsidRPr="00C27EDC">
        <w:rPr>
          <w:rFonts w:ascii="Times New Roman" w:hAnsi="Times New Roman" w:cs="Times New Roman"/>
          <w:sz w:val="20"/>
        </w:rPr>
        <w:t xml:space="preserve"> she is also the director of research and development center of University. Her research included a wide spectrum from patient safety to clinical and pathological researches.</w:t>
      </w:r>
    </w:p>
    <w:sectPr w:rsidR="00C27EDC" w:rsidRPr="00C27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EDC"/>
    <w:rsid w:val="000A6E06"/>
    <w:rsid w:val="00275599"/>
    <w:rsid w:val="0046385C"/>
    <w:rsid w:val="00474203"/>
    <w:rsid w:val="00535872"/>
    <w:rsid w:val="005F044A"/>
    <w:rsid w:val="006B50D5"/>
    <w:rsid w:val="00924B33"/>
    <w:rsid w:val="00C27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2022-08-26T13:19:00Z</dcterms:created>
  <dcterms:modified xsi:type="dcterms:W3CDTF">2022-08-26T13:25:00Z</dcterms:modified>
</cp:coreProperties>
</file>