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874" w:rsidRDefault="003A401B">
      <w:pPr>
        <w:rPr>
          <w:rFonts w:ascii="Times New Roman" w:hAnsi="Times New Roman" w:cs="Times New Roman"/>
          <w:b/>
          <w:sz w:val="32"/>
        </w:rPr>
      </w:pPr>
      <w:commentRangeStart w:id="0"/>
      <w:r w:rsidRPr="003A401B">
        <w:rPr>
          <w:rFonts w:ascii="Times New Roman" w:hAnsi="Times New Roman" w:cs="Times New Roman"/>
          <w:b/>
          <w:sz w:val="32"/>
        </w:rPr>
        <w:t xml:space="preserve">Microbiological diagnosis of </w:t>
      </w:r>
      <w:proofErr w:type="spellStart"/>
      <w:r w:rsidRPr="003A401B">
        <w:rPr>
          <w:rFonts w:ascii="Times New Roman" w:hAnsi="Times New Roman" w:cs="Times New Roman"/>
          <w:b/>
          <w:sz w:val="32"/>
        </w:rPr>
        <w:t>endophthalmitis</w:t>
      </w:r>
      <w:proofErr w:type="spellEnd"/>
      <w:r w:rsidRPr="003A401B">
        <w:rPr>
          <w:rFonts w:ascii="Times New Roman" w:hAnsi="Times New Roman" w:cs="Times New Roman"/>
          <w:b/>
          <w:sz w:val="32"/>
        </w:rPr>
        <w:t xml:space="preserve"> using </w:t>
      </w:r>
      <w:proofErr w:type="spellStart"/>
      <w:r w:rsidRPr="003A401B">
        <w:rPr>
          <w:rFonts w:ascii="Times New Roman" w:hAnsi="Times New Roman" w:cs="Times New Roman"/>
          <w:b/>
          <w:sz w:val="32"/>
        </w:rPr>
        <w:t>nanopore</w:t>
      </w:r>
      <w:proofErr w:type="spellEnd"/>
      <w:r w:rsidRPr="003A401B">
        <w:rPr>
          <w:rFonts w:ascii="Times New Roman" w:hAnsi="Times New Roman" w:cs="Times New Roman"/>
          <w:b/>
          <w:sz w:val="32"/>
        </w:rPr>
        <w:t xml:space="preserve"> targeted sequencing</w:t>
      </w:r>
      <w:commentRangeEnd w:id="0"/>
      <w:r w:rsidR="008A2BEB">
        <w:rPr>
          <w:rStyle w:val="CommentReference"/>
        </w:rPr>
        <w:commentReference w:id="0"/>
      </w:r>
    </w:p>
    <w:p w:rsidR="003A401B" w:rsidRDefault="003A401B" w:rsidP="003A401B">
      <w:pPr>
        <w:spacing w:after="120"/>
        <w:rPr>
          <w:rFonts w:ascii="Times New Roman" w:hAnsi="Times New Roman" w:cs="Times New Roman"/>
          <w:sz w:val="24"/>
        </w:rPr>
      </w:pPr>
      <w:r w:rsidRPr="003A401B">
        <w:rPr>
          <w:rFonts w:ascii="Times New Roman" w:hAnsi="Times New Roman" w:cs="Times New Roman"/>
          <w:sz w:val="24"/>
        </w:rPr>
        <w:t>Yang Cheng</w:t>
      </w:r>
    </w:p>
    <w:p w:rsidR="003A401B" w:rsidRPr="003A401B" w:rsidRDefault="003A401B" w:rsidP="003A401B">
      <w:pPr>
        <w:spacing w:after="120"/>
        <w:rPr>
          <w:rFonts w:ascii="Times New Roman" w:hAnsi="Times New Roman" w:cs="Times New Roman"/>
        </w:rPr>
      </w:pPr>
      <w:proofErr w:type="spellStart"/>
      <w:r w:rsidRPr="003A401B">
        <w:rPr>
          <w:rFonts w:ascii="Times New Roman" w:hAnsi="Times New Roman" w:cs="Times New Roman"/>
        </w:rPr>
        <w:t>Huazhong</w:t>
      </w:r>
      <w:proofErr w:type="spellEnd"/>
      <w:r w:rsidRPr="003A401B">
        <w:rPr>
          <w:rFonts w:ascii="Times New Roman" w:hAnsi="Times New Roman" w:cs="Times New Roman"/>
        </w:rPr>
        <w:t xml:space="preserve"> University of Science and</w:t>
      </w:r>
      <w:r w:rsidRPr="003A401B">
        <w:rPr>
          <w:rFonts w:ascii="Times New Roman" w:hAnsi="Times New Roman" w:cs="Times New Roman"/>
        </w:rPr>
        <w:t xml:space="preserve"> Technology, </w:t>
      </w:r>
      <w:r w:rsidRPr="003A401B">
        <w:rPr>
          <w:rFonts w:ascii="Times New Roman" w:hAnsi="Times New Roman" w:cs="Times New Roman"/>
        </w:rPr>
        <w:t>China</w:t>
      </w:r>
    </w:p>
    <w:p w:rsidR="003A401B" w:rsidRPr="003A401B" w:rsidRDefault="003A401B" w:rsidP="003A401B">
      <w:pPr>
        <w:spacing w:after="120"/>
        <w:jc w:val="center"/>
        <w:rPr>
          <w:rFonts w:ascii="Times New Roman" w:hAnsi="Times New Roman" w:cs="Times New Roman"/>
          <w:b/>
          <w:sz w:val="24"/>
        </w:rPr>
      </w:pPr>
      <w:r w:rsidRPr="003A401B">
        <w:rPr>
          <w:rFonts w:ascii="Times New Roman" w:hAnsi="Times New Roman" w:cs="Times New Roman"/>
          <w:b/>
          <w:sz w:val="24"/>
        </w:rPr>
        <w:t>Abstract</w:t>
      </w:r>
    </w:p>
    <w:p w:rsidR="003A401B" w:rsidRDefault="003A401B" w:rsidP="003A401B">
      <w:pPr>
        <w:jc w:val="both"/>
        <w:rPr>
          <w:rFonts w:ascii="Times New Roman" w:hAnsi="Times New Roman" w:cs="Times New Roman"/>
          <w:sz w:val="20"/>
        </w:rPr>
      </w:pPr>
      <w:r w:rsidRPr="003A401B">
        <w:rPr>
          <w:rFonts w:ascii="Times New Roman" w:hAnsi="Times New Roman" w:cs="Times New Roman"/>
          <w:b/>
          <w:sz w:val="20"/>
        </w:rPr>
        <w:t>Background:</w:t>
      </w:r>
      <w:r w:rsidRPr="003A401B">
        <w:rPr>
          <w:rFonts w:ascii="Times New Roman" w:hAnsi="Times New Roman" w:cs="Times New Roman"/>
          <w:sz w:val="20"/>
        </w:rPr>
        <w:t xml:space="preserve"> Microorganism identification is critical for the early diagnosis and management of infectious </w:t>
      </w:r>
      <w:proofErr w:type="spellStart"/>
      <w:r w:rsidRPr="003A401B">
        <w:rPr>
          <w:rFonts w:ascii="Times New Roman" w:hAnsi="Times New Roman" w:cs="Times New Roman"/>
          <w:sz w:val="20"/>
        </w:rPr>
        <w:t>endophthalmitis</w:t>
      </w:r>
      <w:proofErr w:type="spellEnd"/>
      <w:r w:rsidRPr="003A401B">
        <w:rPr>
          <w:rFonts w:ascii="Times New Roman" w:hAnsi="Times New Roman" w:cs="Times New Roman"/>
          <w:sz w:val="20"/>
        </w:rPr>
        <w:t xml:space="preserve">, but traditional culture can yield false-negative results. </w:t>
      </w:r>
      <w:proofErr w:type="spellStart"/>
      <w:r w:rsidRPr="003A401B">
        <w:rPr>
          <w:rFonts w:ascii="Times New Roman" w:hAnsi="Times New Roman" w:cs="Times New Roman"/>
          <w:sz w:val="20"/>
        </w:rPr>
        <w:t>Nanopore</w:t>
      </w:r>
      <w:proofErr w:type="spellEnd"/>
      <w:r w:rsidRPr="003A401B">
        <w:rPr>
          <w:rFonts w:ascii="Times New Roman" w:hAnsi="Times New Roman" w:cs="Times New Roman"/>
          <w:sz w:val="20"/>
        </w:rPr>
        <w:t xml:space="preserve"> Targeted Sequencing (NTS) is a third-generation sequencing</w:t>
      </w:r>
      <w:bookmarkStart w:id="1" w:name="_GoBack"/>
      <w:bookmarkEnd w:id="1"/>
      <w:r w:rsidRPr="003A401B">
        <w:rPr>
          <w:rFonts w:ascii="Times New Roman" w:hAnsi="Times New Roman" w:cs="Times New Roman"/>
          <w:sz w:val="20"/>
        </w:rPr>
        <w:t xml:space="preserve"> technique with multiple advantages</w:t>
      </w:r>
      <w:r w:rsidR="003C55E7">
        <w:rPr>
          <w:rFonts w:ascii="Times New Roman" w:hAnsi="Times New Roman" w:cs="Times New Roman"/>
          <w:sz w:val="20"/>
        </w:rPr>
        <w:t xml:space="preserve"> (Figure 1)</w:t>
      </w:r>
      <w:r w:rsidRPr="003A401B">
        <w:rPr>
          <w:rFonts w:ascii="Times New Roman" w:hAnsi="Times New Roman" w:cs="Times New Roman"/>
          <w:sz w:val="20"/>
        </w:rPr>
        <w:t xml:space="preserve">. This study aimed to test aqueous </w:t>
      </w:r>
      <w:proofErr w:type="spellStart"/>
      <w:r w:rsidRPr="003A401B">
        <w:rPr>
          <w:rFonts w:ascii="Times New Roman" w:hAnsi="Times New Roman" w:cs="Times New Roman"/>
          <w:sz w:val="20"/>
        </w:rPr>
        <w:t>humour</w:t>
      </w:r>
      <w:proofErr w:type="spellEnd"/>
      <w:r w:rsidRPr="003A401B">
        <w:rPr>
          <w:rFonts w:ascii="Times New Roman" w:hAnsi="Times New Roman" w:cs="Times New Roman"/>
          <w:sz w:val="20"/>
        </w:rPr>
        <w:t xml:space="preserve"> or vitreous fluid samples from presumed cases of infectious </w:t>
      </w:r>
      <w:proofErr w:type="spellStart"/>
      <w:r w:rsidRPr="003A401B">
        <w:rPr>
          <w:rFonts w:ascii="Times New Roman" w:hAnsi="Times New Roman" w:cs="Times New Roman"/>
          <w:sz w:val="20"/>
        </w:rPr>
        <w:t>endophthalmitis</w:t>
      </w:r>
      <w:proofErr w:type="spellEnd"/>
      <w:r w:rsidRPr="003A401B">
        <w:rPr>
          <w:rFonts w:ascii="Times New Roman" w:hAnsi="Times New Roman" w:cs="Times New Roman"/>
          <w:sz w:val="20"/>
        </w:rPr>
        <w:t xml:space="preserve"> using NTS to evaluate the feasibility of NTS in diagnosing </w:t>
      </w:r>
      <w:proofErr w:type="spellStart"/>
      <w:r w:rsidRPr="003A401B">
        <w:rPr>
          <w:rFonts w:ascii="Times New Roman" w:hAnsi="Times New Roman" w:cs="Times New Roman"/>
          <w:sz w:val="20"/>
        </w:rPr>
        <w:t>endophthalmitis</w:t>
      </w:r>
      <w:proofErr w:type="spellEnd"/>
      <w:r w:rsidRPr="003A401B">
        <w:rPr>
          <w:rFonts w:ascii="Times New Roman" w:hAnsi="Times New Roman" w:cs="Times New Roman"/>
          <w:sz w:val="20"/>
        </w:rPr>
        <w:t xml:space="preserve">, especially for culture-negative cases. </w:t>
      </w:r>
    </w:p>
    <w:p w:rsidR="003A401B" w:rsidRDefault="003A401B" w:rsidP="003A401B">
      <w:pPr>
        <w:jc w:val="both"/>
        <w:rPr>
          <w:rFonts w:ascii="Times New Roman" w:hAnsi="Times New Roman" w:cs="Times New Roman"/>
          <w:sz w:val="20"/>
        </w:rPr>
      </w:pPr>
      <w:r w:rsidRPr="003A401B">
        <w:rPr>
          <w:rFonts w:ascii="Times New Roman" w:hAnsi="Times New Roman" w:cs="Times New Roman"/>
          <w:b/>
          <w:sz w:val="20"/>
        </w:rPr>
        <w:t>Methods:</w:t>
      </w:r>
      <w:r w:rsidRPr="003A401B">
        <w:rPr>
          <w:rFonts w:ascii="Times New Roman" w:hAnsi="Times New Roman" w:cs="Times New Roman"/>
          <w:sz w:val="20"/>
        </w:rPr>
        <w:t xml:space="preserve"> This prospective study enrolled patients who presented to the Department of Ophthalmology of Union Hospital (Wuhan, China) between June 2018 and December 2020. The samples were sent immediately for routine microbiology culture processing and NTS assay. </w:t>
      </w:r>
    </w:p>
    <w:p w:rsidR="003A401B" w:rsidRDefault="003A401B" w:rsidP="003A401B">
      <w:pPr>
        <w:jc w:val="both"/>
        <w:rPr>
          <w:rFonts w:ascii="Times New Roman" w:hAnsi="Times New Roman" w:cs="Times New Roman"/>
          <w:sz w:val="20"/>
        </w:rPr>
      </w:pPr>
      <w:r w:rsidRPr="003A401B">
        <w:rPr>
          <w:rFonts w:ascii="Times New Roman" w:hAnsi="Times New Roman" w:cs="Times New Roman"/>
          <w:b/>
          <w:sz w:val="20"/>
        </w:rPr>
        <w:t>Results:</w:t>
      </w:r>
      <w:r w:rsidRPr="003A401B">
        <w:rPr>
          <w:rFonts w:ascii="Times New Roman" w:hAnsi="Times New Roman" w:cs="Times New Roman"/>
          <w:sz w:val="20"/>
        </w:rPr>
        <w:t xml:space="preserve"> NTS identified microorganisms in 17 of 18 cases (94.4%) (</w:t>
      </w:r>
      <w:proofErr w:type="gramStart"/>
      <w:r>
        <w:rPr>
          <w:rFonts w:ascii="Times New Roman" w:hAnsi="Times New Roman" w:cs="Times New Roman"/>
          <w:sz w:val="20"/>
        </w:rPr>
        <w:t>e</w:t>
      </w:r>
      <w:r w:rsidRPr="003A401B">
        <w:rPr>
          <w:rFonts w:ascii="Times New Roman" w:hAnsi="Times New Roman" w:cs="Times New Roman"/>
          <w:sz w:val="20"/>
        </w:rPr>
        <w:t>ight</w:t>
      </w:r>
      <w:proofErr w:type="gramEnd"/>
      <w:r>
        <w:rPr>
          <w:rFonts w:ascii="Times New Roman" w:hAnsi="Times New Roman" w:cs="Times New Roman"/>
          <w:sz w:val="20"/>
        </w:rPr>
        <w:t xml:space="preserve"> culture-positive cases, nine</w:t>
      </w:r>
      <w:r w:rsidRPr="003A401B">
        <w:rPr>
          <w:rFonts w:ascii="Times New Roman" w:hAnsi="Times New Roman" w:cs="Times New Roman"/>
          <w:sz w:val="20"/>
        </w:rPr>
        <w:t xml:space="preserve"> culture-negative cases, and one case unavailable for culture). There was a high-quality match between culture and NTS for culture-positive cases. In the nine culture-negative cases and the case unavailable for culture, NTS detected either bacteria, fungi, or a mixture of bacteria and fungi in the intraocular fluids. The average waiting times for the results of bacterial and fungal cultures were 48 and 72 h, respectively. The average time for the NTS results was 12 h.</w:t>
      </w:r>
    </w:p>
    <w:p w:rsidR="003A401B" w:rsidRDefault="003A401B" w:rsidP="003A401B">
      <w:pPr>
        <w:jc w:val="both"/>
        <w:rPr>
          <w:rFonts w:ascii="Times New Roman" w:hAnsi="Times New Roman" w:cs="Times New Roman"/>
          <w:sz w:val="20"/>
        </w:rPr>
      </w:pPr>
      <w:r w:rsidRPr="003A401B">
        <w:rPr>
          <w:rFonts w:ascii="Times New Roman" w:hAnsi="Times New Roman" w:cs="Times New Roman"/>
          <w:b/>
          <w:sz w:val="20"/>
        </w:rPr>
        <w:t>Conclusions:</w:t>
      </w:r>
      <w:r w:rsidRPr="003A401B">
        <w:rPr>
          <w:rFonts w:ascii="Times New Roman" w:hAnsi="Times New Roman" w:cs="Times New Roman"/>
          <w:sz w:val="20"/>
        </w:rPr>
        <w:t xml:space="preserve"> NTS appears to be a promising diagnostic platform for diagnosing infectious </w:t>
      </w:r>
      <w:proofErr w:type="spellStart"/>
      <w:r w:rsidRPr="003A401B">
        <w:rPr>
          <w:rFonts w:ascii="Times New Roman" w:hAnsi="Times New Roman" w:cs="Times New Roman"/>
          <w:sz w:val="20"/>
        </w:rPr>
        <w:t>endophthalmitis</w:t>
      </w:r>
      <w:proofErr w:type="spellEnd"/>
      <w:r w:rsidRPr="003A401B">
        <w:rPr>
          <w:rFonts w:ascii="Times New Roman" w:hAnsi="Times New Roman" w:cs="Times New Roman"/>
          <w:sz w:val="20"/>
        </w:rPr>
        <w:t xml:space="preserve">, even for culture-negative cases. </w:t>
      </w:r>
    </w:p>
    <w:p w:rsidR="003A401B" w:rsidRDefault="003A401B" w:rsidP="003A401B">
      <w:pPr>
        <w:jc w:val="both"/>
        <w:rPr>
          <w:rFonts w:ascii="Times New Roman" w:hAnsi="Times New Roman" w:cs="Times New Roman"/>
          <w:sz w:val="20"/>
        </w:rPr>
      </w:pPr>
      <w:r w:rsidRPr="003A401B">
        <w:rPr>
          <w:rFonts w:ascii="Times New Roman" w:hAnsi="Times New Roman" w:cs="Times New Roman"/>
          <w:b/>
          <w:sz w:val="20"/>
        </w:rPr>
        <w:t>Keywords:</w:t>
      </w:r>
      <w:r w:rsidRPr="003A401B">
        <w:rPr>
          <w:rFonts w:ascii="Times New Roman" w:hAnsi="Times New Roman" w:cs="Times New Roman"/>
          <w:sz w:val="20"/>
        </w:rPr>
        <w:t xml:space="preserve"> Culture, </w:t>
      </w:r>
      <w:proofErr w:type="spellStart"/>
      <w:r w:rsidRPr="003A401B">
        <w:rPr>
          <w:rFonts w:ascii="Times New Roman" w:hAnsi="Times New Roman" w:cs="Times New Roman"/>
          <w:sz w:val="20"/>
        </w:rPr>
        <w:t>Endophthalmitis</w:t>
      </w:r>
      <w:proofErr w:type="spellEnd"/>
      <w:r w:rsidRPr="003A401B">
        <w:rPr>
          <w:rFonts w:ascii="Times New Roman" w:hAnsi="Times New Roman" w:cs="Times New Roman"/>
          <w:sz w:val="20"/>
        </w:rPr>
        <w:t>, False-</w:t>
      </w:r>
      <w:r>
        <w:rPr>
          <w:rFonts w:ascii="Times New Roman" w:hAnsi="Times New Roman" w:cs="Times New Roman"/>
          <w:sz w:val="20"/>
        </w:rPr>
        <w:t>n</w:t>
      </w:r>
      <w:r w:rsidRPr="003A401B">
        <w:rPr>
          <w:rFonts w:ascii="Times New Roman" w:hAnsi="Times New Roman" w:cs="Times New Roman"/>
          <w:sz w:val="20"/>
        </w:rPr>
        <w:t>egative, Nano pore Targeted Sequencing</w:t>
      </w:r>
    </w:p>
    <w:p w:rsidR="003A401B" w:rsidRDefault="003A401B" w:rsidP="003A401B">
      <w:pPr>
        <w:jc w:val="center"/>
        <w:rPr>
          <w:rFonts w:ascii="Times New Roman" w:hAnsi="Times New Roman" w:cs="Times New Roman"/>
          <w:sz w:val="20"/>
        </w:rPr>
      </w:pPr>
      <w:r>
        <w:rPr>
          <w:noProof/>
        </w:rPr>
        <w:drawing>
          <wp:inline distT="0" distB="0" distL="0" distR="0" wp14:anchorId="18002D4C" wp14:editId="4C489A21">
            <wp:extent cx="5943600" cy="1666875"/>
            <wp:effectExtent l="0" t="0" r="0" b="9525"/>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7">
                      <a:extLst>
                        <a:ext uri="{28A0092B-C50C-407E-A947-70E740481C1C}">
                          <a14:useLocalDpi xmlns:a14="http://schemas.microsoft.com/office/drawing/2010/main"/>
                        </a:ext>
                      </a:extLst>
                    </a:blip>
                    <a:stretch>
                      <a:fillRect/>
                    </a:stretch>
                  </pic:blipFill>
                  <pic:spPr>
                    <a:xfrm>
                      <a:off x="0" y="0"/>
                      <a:ext cx="5943600" cy="1666875"/>
                    </a:xfrm>
                    <a:prstGeom prst="rect">
                      <a:avLst/>
                    </a:prstGeom>
                  </pic:spPr>
                </pic:pic>
              </a:graphicData>
            </a:graphic>
          </wp:inline>
        </w:drawing>
      </w:r>
    </w:p>
    <w:p w:rsidR="003A401B" w:rsidRDefault="003A401B" w:rsidP="003A401B">
      <w:pPr>
        <w:jc w:val="center"/>
        <w:rPr>
          <w:rFonts w:ascii="Times New Roman" w:hAnsi="Times New Roman" w:cs="Times New Roman"/>
          <w:i/>
          <w:sz w:val="18"/>
        </w:rPr>
      </w:pPr>
      <w:proofErr w:type="gramStart"/>
      <w:r w:rsidRPr="003A401B">
        <w:rPr>
          <w:rFonts w:ascii="Times New Roman" w:hAnsi="Times New Roman" w:cs="Times New Roman"/>
          <w:b/>
          <w:i/>
          <w:sz w:val="18"/>
        </w:rPr>
        <w:t>Figure 1.</w:t>
      </w:r>
      <w:proofErr w:type="gramEnd"/>
      <w:r w:rsidRPr="003A401B">
        <w:rPr>
          <w:rFonts w:ascii="Times New Roman" w:hAnsi="Times New Roman" w:cs="Times New Roman"/>
          <w:b/>
          <w:i/>
          <w:sz w:val="18"/>
        </w:rPr>
        <w:t xml:space="preserve"> </w:t>
      </w:r>
      <w:proofErr w:type="spellStart"/>
      <w:r w:rsidRPr="003A401B">
        <w:rPr>
          <w:rFonts w:ascii="Times New Roman" w:hAnsi="Times New Roman" w:cs="Times New Roman"/>
          <w:i/>
          <w:sz w:val="18"/>
        </w:rPr>
        <w:t>Nanopore</w:t>
      </w:r>
      <w:proofErr w:type="spellEnd"/>
      <w:r w:rsidRPr="003A401B">
        <w:rPr>
          <w:rFonts w:ascii="Times New Roman" w:hAnsi="Times New Roman" w:cs="Times New Roman"/>
          <w:i/>
          <w:sz w:val="18"/>
        </w:rPr>
        <w:t xml:space="preserve"> targeted sequencing detection.</w:t>
      </w:r>
    </w:p>
    <w:p w:rsidR="003A401B" w:rsidRPr="003A401B" w:rsidRDefault="003A401B" w:rsidP="003A401B">
      <w:pPr>
        <w:rPr>
          <w:rFonts w:ascii="Times New Roman" w:hAnsi="Times New Roman" w:cs="Times New Roman"/>
          <w:b/>
          <w:sz w:val="24"/>
        </w:rPr>
      </w:pPr>
      <w:r w:rsidRPr="003A401B">
        <w:rPr>
          <w:rFonts w:ascii="Times New Roman" w:hAnsi="Times New Roman" w:cs="Times New Roman"/>
          <w:b/>
          <w:sz w:val="24"/>
        </w:rPr>
        <w:t>Biography</w:t>
      </w:r>
    </w:p>
    <w:p w:rsidR="003A401B" w:rsidRPr="003A401B" w:rsidRDefault="003A401B" w:rsidP="003A401B">
      <w:pPr>
        <w:jc w:val="both"/>
        <w:rPr>
          <w:rFonts w:ascii="Times New Roman" w:hAnsi="Times New Roman" w:cs="Times New Roman"/>
          <w:sz w:val="20"/>
        </w:rPr>
      </w:pPr>
      <w:r w:rsidRPr="003A401B">
        <w:rPr>
          <w:rFonts w:ascii="Times New Roman" w:hAnsi="Times New Roman" w:cs="Times New Roman"/>
          <w:sz w:val="20"/>
        </w:rPr>
        <w:t xml:space="preserve">Yang Cheng specializes in </w:t>
      </w:r>
      <w:proofErr w:type="spellStart"/>
      <w:r w:rsidRPr="003A401B">
        <w:rPr>
          <w:rFonts w:ascii="Times New Roman" w:hAnsi="Times New Roman" w:cs="Times New Roman"/>
          <w:sz w:val="20"/>
        </w:rPr>
        <w:t>vitreoretinal</w:t>
      </w:r>
      <w:proofErr w:type="spellEnd"/>
      <w:r w:rsidRPr="003A401B">
        <w:rPr>
          <w:rFonts w:ascii="Times New Roman" w:hAnsi="Times New Roman" w:cs="Times New Roman"/>
          <w:sz w:val="20"/>
        </w:rPr>
        <w:t xml:space="preserve"> microsurgery; phacoemulsification and intraocular lens implantation combined with </w:t>
      </w:r>
      <w:proofErr w:type="spellStart"/>
      <w:r w:rsidRPr="003A401B">
        <w:rPr>
          <w:rFonts w:ascii="Times New Roman" w:hAnsi="Times New Roman" w:cs="Times New Roman"/>
          <w:sz w:val="20"/>
        </w:rPr>
        <w:t>vitreoretinal</w:t>
      </w:r>
      <w:proofErr w:type="spellEnd"/>
      <w:r w:rsidRPr="003A401B">
        <w:rPr>
          <w:rFonts w:ascii="Times New Roman" w:hAnsi="Times New Roman" w:cs="Times New Roman"/>
          <w:sz w:val="20"/>
        </w:rPr>
        <w:t xml:space="preserve"> surgery, and has accumulated rich experience in the diagnosis and treatment of complex retinal detachment, eye trauma, intraocular foreign bodies, diabetic retinopathy and retinopathy of prematurity. In recent studies, a set of diagnosis and treatment procedures for patients with infectious </w:t>
      </w:r>
      <w:proofErr w:type="spellStart"/>
      <w:r w:rsidRPr="003A401B">
        <w:rPr>
          <w:rFonts w:ascii="Times New Roman" w:hAnsi="Times New Roman" w:cs="Times New Roman"/>
          <w:sz w:val="20"/>
        </w:rPr>
        <w:t>endophthalmitis</w:t>
      </w:r>
      <w:proofErr w:type="spellEnd"/>
      <w:r w:rsidRPr="003A401B">
        <w:rPr>
          <w:rFonts w:ascii="Times New Roman" w:hAnsi="Times New Roman" w:cs="Times New Roman"/>
          <w:sz w:val="20"/>
        </w:rPr>
        <w:t xml:space="preserve"> have been established by collecting intraocular fluid samples for genetic testing, and the effectiveness of this method has been verified in the clinical process.</w:t>
      </w:r>
    </w:p>
    <w:sectPr w:rsidR="003A401B" w:rsidRPr="003A401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7T12:39:00Z" w:initials="SS">
    <w:p w:rsidR="008A2BEB" w:rsidRDefault="008A2BEB">
      <w:pPr>
        <w:pStyle w:val="CommentText"/>
      </w:pPr>
      <w:r>
        <w:rPr>
          <w:rStyle w:val="CommentReference"/>
        </w:rPr>
        <w:annotationRef/>
      </w:r>
      <w:r>
        <w:t>Already published. Please find the below links for your reference.</w:t>
      </w:r>
    </w:p>
    <w:p w:rsidR="008A2BEB" w:rsidRDefault="008A2BEB">
      <w:pPr>
        <w:pStyle w:val="CommentText"/>
      </w:pPr>
    </w:p>
    <w:p w:rsidR="008A2BEB" w:rsidRDefault="008A2BEB" w:rsidP="008A2BEB">
      <w:pPr>
        <w:pStyle w:val="CommentText"/>
        <w:numPr>
          <w:ilvl w:val="0"/>
          <w:numId w:val="1"/>
        </w:numPr>
      </w:pPr>
      <w:hyperlink r:id="rId1" w:history="1">
        <w:r w:rsidRPr="00F5792E">
          <w:rPr>
            <w:rStyle w:val="Hyperlink"/>
          </w:rPr>
          <w:t>https://onlinelibrary.wiley.com/doi/full/10.1111/ceo.13992</w:t>
        </w:r>
      </w:hyperlink>
    </w:p>
    <w:p w:rsidR="008A2BEB" w:rsidRDefault="008A2BEB" w:rsidP="008A2BEB">
      <w:pPr>
        <w:pStyle w:val="CommentText"/>
        <w:numPr>
          <w:ilvl w:val="0"/>
          <w:numId w:val="1"/>
        </w:numPr>
      </w:pPr>
      <w:hyperlink r:id="rId2" w:history="1">
        <w:r w:rsidRPr="00F5792E">
          <w:rPr>
            <w:rStyle w:val="Hyperlink"/>
          </w:rPr>
          <w:t>https://www.semanticscholar.org/paper/Microbiological-diagnosis-of-endophthalmitis-using-Huang-Fu/c2259534ecc9d2b8ebd5990654752d5cb74a2e71</w:t>
        </w:r>
      </w:hyperlink>
    </w:p>
    <w:p w:rsidR="008A2BEB" w:rsidRDefault="008A2BEB" w:rsidP="008A2BE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165A8"/>
    <w:multiLevelType w:val="hybridMultilevel"/>
    <w:tmpl w:val="BF30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01B"/>
    <w:rsid w:val="00080DC1"/>
    <w:rsid w:val="003A401B"/>
    <w:rsid w:val="003C55E7"/>
    <w:rsid w:val="008A2BEB"/>
    <w:rsid w:val="009F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40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01B"/>
    <w:rPr>
      <w:rFonts w:ascii="Tahoma" w:hAnsi="Tahoma" w:cs="Tahoma"/>
      <w:sz w:val="16"/>
      <w:szCs w:val="16"/>
    </w:rPr>
  </w:style>
  <w:style w:type="character" w:styleId="CommentReference">
    <w:name w:val="annotation reference"/>
    <w:basedOn w:val="DefaultParagraphFont"/>
    <w:uiPriority w:val="99"/>
    <w:semiHidden/>
    <w:unhideWhenUsed/>
    <w:rsid w:val="008A2BEB"/>
    <w:rPr>
      <w:sz w:val="16"/>
      <w:szCs w:val="16"/>
    </w:rPr>
  </w:style>
  <w:style w:type="paragraph" w:styleId="CommentText">
    <w:name w:val="annotation text"/>
    <w:basedOn w:val="Normal"/>
    <w:link w:val="CommentTextChar"/>
    <w:uiPriority w:val="99"/>
    <w:semiHidden/>
    <w:unhideWhenUsed/>
    <w:rsid w:val="008A2BEB"/>
    <w:pPr>
      <w:spacing w:line="240" w:lineRule="auto"/>
    </w:pPr>
    <w:rPr>
      <w:sz w:val="20"/>
      <w:szCs w:val="20"/>
    </w:rPr>
  </w:style>
  <w:style w:type="character" w:customStyle="1" w:styleId="CommentTextChar">
    <w:name w:val="Comment Text Char"/>
    <w:basedOn w:val="DefaultParagraphFont"/>
    <w:link w:val="CommentText"/>
    <w:uiPriority w:val="99"/>
    <w:semiHidden/>
    <w:rsid w:val="008A2BEB"/>
    <w:rPr>
      <w:sz w:val="20"/>
      <w:szCs w:val="20"/>
    </w:rPr>
  </w:style>
  <w:style w:type="paragraph" w:styleId="CommentSubject">
    <w:name w:val="annotation subject"/>
    <w:basedOn w:val="CommentText"/>
    <w:next w:val="CommentText"/>
    <w:link w:val="CommentSubjectChar"/>
    <w:uiPriority w:val="99"/>
    <w:semiHidden/>
    <w:unhideWhenUsed/>
    <w:rsid w:val="008A2BEB"/>
    <w:rPr>
      <w:b/>
      <w:bCs/>
    </w:rPr>
  </w:style>
  <w:style w:type="character" w:customStyle="1" w:styleId="CommentSubjectChar">
    <w:name w:val="Comment Subject Char"/>
    <w:basedOn w:val="CommentTextChar"/>
    <w:link w:val="CommentSubject"/>
    <w:uiPriority w:val="99"/>
    <w:semiHidden/>
    <w:rsid w:val="008A2BEB"/>
    <w:rPr>
      <w:b/>
      <w:bCs/>
      <w:sz w:val="20"/>
      <w:szCs w:val="20"/>
    </w:rPr>
  </w:style>
  <w:style w:type="character" w:styleId="Hyperlink">
    <w:name w:val="Hyperlink"/>
    <w:basedOn w:val="DefaultParagraphFont"/>
    <w:uiPriority w:val="99"/>
    <w:unhideWhenUsed/>
    <w:rsid w:val="008A2B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40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01B"/>
    <w:rPr>
      <w:rFonts w:ascii="Tahoma" w:hAnsi="Tahoma" w:cs="Tahoma"/>
      <w:sz w:val="16"/>
      <w:szCs w:val="16"/>
    </w:rPr>
  </w:style>
  <w:style w:type="character" w:styleId="CommentReference">
    <w:name w:val="annotation reference"/>
    <w:basedOn w:val="DefaultParagraphFont"/>
    <w:uiPriority w:val="99"/>
    <w:semiHidden/>
    <w:unhideWhenUsed/>
    <w:rsid w:val="008A2BEB"/>
    <w:rPr>
      <w:sz w:val="16"/>
      <w:szCs w:val="16"/>
    </w:rPr>
  </w:style>
  <w:style w:type="paragraph" w:styleId="CommentText">
    <w:name w:val="annotation text"/>
    <w:basedOn w:val="Normal"/>
    <w:link w:val="CommentTextChar"/>
    <w:uiPriority w:val="99"/>
    <w:semiHidden/>
    <w:unhideWhenUsed/>
    <w:rsid w:val="008A2BEB"/>
    <w:pPr>
      <w:spacing w:line="240" w:lineRule="auto"/>
    </w:pPr>
    <w:rPr>
      <w:sz w:val="20"/>
      <w:szCs w:val="20"/>
    </w:rPr>
  </w:style>
  <w:style w:type="character" w:customStyle="1" w:styleId="CommentTextChar">
    <w:name w:val="Comment Text Char"/>
    <w:basedOn w:val="DefaultParagraphFont"/>
    <w:link w:val="CommentText"/>
    <w:uiPriority w:val="99"/>
    <w:semiHidden/>
    <w:rsid w:val="008A2BEB"/>
    <w:rPr>
      <w:sz w:val="20"/>
      <w:szCs w:val="20"/>
    </w:rPr>
  </w:style>
  <w:style w:type="paragraph" w:styleId="CommentSubject">
    <w:name w:val="annotation subject"/>
    <w:basedOn w:val="CommentText"/>
    <w:next w:val="CommentText"/>
    <w:link w:val="CommentSubjectChar"/>
    <w:uiPriority w:val="99"/>
    <w:semiHidden/>
    <w:unhideWhenUsed/>
    <w:rsid w:val="008A2BEB"/>
    <w:rPr>
      <w:b/>
      <w:bCs/>
    </w:rPr>
  </w:style>
  <w:style w:type="character" w:customStyle="1" w:styleId="CommentSubjectChar">
    <w:name w:val="Comment Subject Char"/>
    <w:basedOn w:val="CommentTextChar"/>
    <w:link w:val="CommentSubject"/>
    <w:uiPriority w:val="99"/>
    <w:semiHidden/>
    <w:rsid w:val="008A2BEB"/>
    <w:rPr>
      <w:b/>
      <w:bCs/>
      <w:sz w:val="20"/>
      <w:szCs w:val="20"/>
    </w:rPr>
  </w:style>
  <w:style w:type="character" w:styleId="Hyperlink">
    <w:name w:val="Hyperlink"/>
    <w:basedOn w:val="DefaultParagraphFont"/>
    <w:uiPriority w:val="99"/>
    <w:unhideWhenUsed/>
    <w:rsid w:val="008A2B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6391">
      <w:bodyDiv w:val="1"/>
      <w:marLeft w:val="0"/>
      <w:marRight w:val="0"/>
      <w:marTop w:val="0"/>
      <w:marBottom w:val="0"/>
      <w:divBdr>
        <w:top w:val="none" w:sz="0" w:space="0" w:color="auto"/>
        <w:left w:val="none" w:sz="0" w:space="0" w:color="auto"/>
        <w:bottom w:val="none" w:sz="0" w:space="0" w:color="auto"/>
        <w:right w:val="none" w:sz="0" w:space="0" w:color="auto"/>
      </w:divBdr>
    </w:div>
    <w:div w:id="56976330">
      <w:bodyDiv w:val="1"/>
      <w:marLeft w:val="0"/>
      <w:marRight w:val="0"/>
      <w:marTop w:val="0"/>
      <w:marBottom w:val="0"/>
      <w:divBdr>
        <w:top w:val="none" w:sz="0" w:space="0" w:color="auto"/>
        <w:left w:val="none" w:sz="0" w:space="0" w:color="auto"/>
        <w:bottom w:val="none" w:sz="0" w:space="0" w:color="auto"/>
        <w:right w:val="none" w:sz="0" w:space="0" w:color="auto"/>
      </w:divBdr>
    </w:div>
    <w:div w:id="618417772">
      <w:bodyDiv w:val="1"/>
      <w:marLeft w:val="0"/>
      <w:marRight w:val="0"/>
      <w:marTop w:val="0"/>
      <w:marBottom w:val="0"/>
      <w:divBdr>
        <w:top w:val="none" w:sz="0" w:space="0" w:color="auto"/>
        <w:left w:val="none" w:sz="0" w:space="0" w:color="auto"/>
        <w:bottom w:val="none" w:sz="0" w:space="0" w:color="auto"/>
        <w:right w:val="none" w:sz="0" w:space="0" w:color="auto"/>
      </w:divBdr>
    </w:div>
    <w:div w:id="688719468">
      <w:bodyDiv w:val="1"/>
      <w:marLeft w:val="0"/>
      <w:marRight w:val="0"/>
      <w:marTop w:val="0"/>
      <w:marBottom w:val="0"/>
      <w:divBdr>
        <w:top w:val="none" w:sz="0" w:space="0" w:color="auto"/>
        <w:left w:val="none" w:sz="0" w:space="0" w:color="auto"/>
        <w:bottom w:val="none" w:sz="0" w:space="0" w:color="auto"/>
        <w:right w:val="none" w:sz="0" w:space="0" w:color="auto"/>
      </w:divBdr>
    </w:div>
    <w:div w:id="141998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semanticscholar.org/paper/Microbiological-diagnosis-of-endophthalmitis-using-Huang-Fu/c2259534ecc9d2b8ebd5990654752d5cb74a2e71" TargetMode="External"/><Relationship Id="rId1" Type="http://schemas.openxmlformats.org/officeDocument/2006/relationships/hyperlink" Target="https://onlinelibrary.wiley.com/doi/full/10.1111/ceo.13992"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2022-06-17T06:54:00Z</dcterms:created>
  <dcterms:modified xsi:type="dcterms:W3CDTF">2022-06-17T07:09:00Z</dcterms:modified>
</cp:coreProperties>
</file>