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E5" w:rsidRDefault="009E6D80">
      <w:pPr>
        <w:rPr>
          <w:rFonts w:ascii="Times New Roman" w:hAnsi="Times New Roman" w:cs="Times New Roman"/>
          <w:b/>
          <w:sz w:val="32"/>
        </w:rPr>
      </w:pPr>
      <w:r w:rsidRPr="009E6D80">
        <w:rPr>
          <w:rFonts w:ascii="Times New Roman" w:hAnsi="Times New Roman" w:cs="Times New Roman"/>
          <w:b/>
          <w:sz w:val="32"/>
        </w:rPr>
        <w:t xml:space="preserve">A </w:t>
      </w:r>
      <w:proofErr w:type="spellStart"/>
      <w:r w:rsidRPr="009E6D80">
        <w:rPr>
          <w:rFonts w:ascii="Times New Roman" w:hAnsi="Times New Roman" w:cs="Times New Roman"/>
          <w:b/>
          <w:sz w:val="32"/>
        </w:rPr>
        <w:t>clinico</w:t>
      </w:r>
      <w:proofErr w:type="spellEnd"/>
      <w:r w:rsidRPr="009E6D80">
        <w:rPr>
          <w:rFonts w:ascii="Times New Roman" w:hAnsi="Times New Roman" w:cs="Times New Roman"/>
          <w:b/>
          <w:sz w:val="32"/>
        </w:rPr>
        <w:t>-pathological study of CO</w:t>
      </w:r>
      <w:r>
        <w:rPr>
          <w:rFonts w:ascii="Times New Roman" w:hAnsi="Times New Roman" w:cs="Times New Roman"/>
          <w:b/>
          <w:sz w:val="32"/>
        </w:rPr>
        <w:t>VID-19 associated rhino-orbital-</w:t>
      </w:r>
      <w:r w:rsidRPr="009E6D80">
        <w:rPr>
          <w:rFonts w:ascii="Times New Roman" w:hAnsi="Times New Roman" w:cs="Times New Roman"/>
          <w:b/>
          <w:sz w:val="32"/>
        </w:rPr>
        <w:t xml:space="preserve">cerebral </w:t>
      </w:r>
      <w:proofErr w:type="spellStart"/>
      <w:r w:rsidRPr="009E6D80">
        <w:rPr>
          <w:rFonts w:ascii="Times New Roman" w:hAnsi="Times New Roman" w:cs="Times New Roman"/>
          <w:b/>
          <w:sz w:val="32"/>
        </w:rPr>
        <w:t>mucormycosis</w:t>
      </w:r>
      <w:proofErr w:type="spellEnd"/>
    </w:p>
    <w:p w:rsidR="009E6D80" w:rsidRDefault="009E6D80" w:rsidP="009E6D80">
      <w:pPr>
        <w:spacing w:after="120"/>
        <w:rPr>
          <w:rFonts w:ascii="Times New Roman" w:hAnsi="Times New Roman" w:cs="Times New Roman"/>
          <w:sz w:val="24"/>
        </w:rPr>
      </w:pPr>
      <w:proofErr w:type="spellStart"/>
      <w:r w:rsidRPr="009E6D80">
        <w:rPr>
          <w:rFonts w:ascii="Times New Roman" w:hAnsi="Times New Roman" w:cs="Times New Roman"/>
          <w:sz w:val="24"/>
        </w:rPr>
        <w:t>Anbuselvi</w:t>
      </w:r>
      <w:proofErr w:type="spellEnd"/>
      <w:r w:rsidRPr="009E6D8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6D80">
        <w:rPr>
          <w:rFonts w:ascii="Times New Roman" w:hAnsi="Times New Roman" w:cs="Times New Roman"/>
          <w:sz w:val="24"/>
        </w:rPr>
        <w:t>Thirunavukkarasu</w:t>
      </w:r>
      <w:proofErr w:type="spellEnd"/>
    </w:p>
    <w:p w:rsidR="009E6D80" w:rsidRPr="009E6D80" w:rsidRDefault="009E6D80" w:rsidP="009E6D80">
      <w:pPr>
        <w:spacing w:after="120"/>
        <w:rPr>
          <w:rFonts w:ascii="Times New Roman" w:hAnsi="Times New Roman" w:cs="Times New Roman"/>
        </w:rPr>
      </w:pPr>
      <w:proofErr w:type="spellStart"/>
      <w:r w:rsidRPr="009E6D80">
        <w:rPr>
          <w:rFonts w:ascii="Times New Roman" w:hAnsi="Times New Roman" w:cs="Times New Roman"/>
        </w:rPr>
        <w:t>Thanjavur</w:t>
      </w:r>
      <w:proofErr w:type="spellEnd"/>
      <w:r w:rsidRPr="009E6D80">
        <w:rPr>
          <w:rFonts w:ascii="Times New Roman" w:hAnsi="Times New Roman" w:cs="Times New Roman"/>
        </w:rPr>
        <w:t xml:space="preserve"> Medical College, India</w:t>
      </w:r>
    </w:p>
    <w:p w:rsidR="009E6D80" w:rsidRPr="009E6D80" w:rsidRDefault="009E6D80" w:rsidP="009E6D80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9E6D80">
        <w:rPr>
          <w:rFonts w:ascii="Times New Roman" w:hAnsi="Times New Roman" w:cs="Times New Roman"/>
          <w:b/>
          <w:sz w:val="24"/>
        </w:rPr>
        <w:t>Abstract</w:t>
      </w:r>
    </w:p>
    <w:p w:rsidR="009E6D80" w:rsidRPr="009E6D80" w:rsidRDefault="009E6D80" w:rsidP="009E6D8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9E6D80">
        <w:rPr>
          <w:rFonts w:ascii="Times New Roman" w:hAnsi="Times New Roman" w:cs="Times New Roman"/>
          <w:b/>
          <w:sz w:val="20"/>
        </w:rPr>
        <w:t xml:space="preserve">Statement </w:t>
      </w:r>
      <w:r w:rsidRPr="009E6D80">
        <w:rPr>
          <w:rFonts w:ascii="Times New Roman" w:hAnsi="Times New Roman" w:cs="Times New Roman"/>
          <w:b/>
          <w:sz w:val="20"/>
        </w:rPr>
        <w:t>of the problem:</w:t>
      </w:r>
      <w:r w:rsidRPr="009E6D80">
        <w:rPr>
          <w:rFonts w:ascii="Times New Roman" w:hAnsi="Times New Roman" w:cs="Times New Roman"/>
          <w:sz w:val="20"/>
        </w:rPr>
        <w:t xml:space="preserve"> </w:t>
      </w:r>
      <w:r w:rsidRPr="009E6D80">
        <w:rPr>
          <w:rFonts w:ascii="Times New Roman" w:hAnsi="Times New Roman" w:cs="Times New Roman"/>
          <w:sz w:val="20"/>
        </w:rPr>
        <w:t xml:space="preserve">Known predisposing factors for </w:t>
      </w:r>
      <w:proofErr w:type="spellStart"/>
      <w:r w:rsidRPr="009E6D80">
        <w:rPr>
          <w:rFonts w:ascii="Times New Roman" w:hAnsi="Times New Roman" w:cs="Times New Roman"/>
          <w:sz w:val="20"/>
        </w:rPr>
        <w:t>mucormycosis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are neutrop</w:t>
      </w:r>
      <w:r w:rsidR="005F515A">
        <w:rPr>
          <w:rFonts w:ascii="Times New Roman" w:hAnsi="Times New Roman" w:cs="Times New Roman"/>
          <w:sz w:val="20"/>
        </w:rPr>
        <w:t>enia and diabetes. Though COVID-</w:t>
      </w:r>
      <w:r w:rsidRPr="009E6D80">
        <w:rPr>
          <w:rFonts w:ascii="Times New Roman" w:hAnsi="Times New Roman" w:cs="Times New Roman"/>
          <w:sz w:val="20"/>
        </w:rPr>
        <w:t xml:space="preserve">19 is associated with </w:t>
      </w:r>
      <w:proofErr w:type="spellStart"/>
      <w:r w:rsidRPr="009E6D80">
        <w:rPr>
          <w:rFonts w:ascii="Times New Roman" w:hAnsi="Times New Roman" w:cs="Times New Roman"/>
          <w:sz w:val="20"/>
        </w:rPr>
        <w:t>hyperinflammatory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response, a high surge in </w:t>
      </w:r>
      <w:r w:rsidRPr="009E6D80">
        <w:rPr>
          <w:rFonts w:ascii="Times New Roman" w:hAnsi="Times New Roman" w:cs="Times New Roman"/>
          <w:sz w:val="20"/>
        </w:rPr>
        <w:t xml:space="preserve">Rhino Orbital Cerebral </w:t>
      </w:r>
      <w:proofErr w:type="spellStart"/>
      <w:r w:rsidRPr="009E6D80">
        <w:rPr>
          <w:rFonts w:ascii="Times New Roman" w:hAnsi="Times New Roman" w:cs="Times New Roman"/>
          <w:sz w:val="20"/>
        </w:rPr>
        <w:t>Mucormycosis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</w:t>
      </w:r>
      <w:r w:rsidRPr="009E6D80">
        <w:rPr>
          <w:rFonts w:ascii="Times New Roman" w:hAnsi="Times New Roman" w:cs="Times New Roman"/>
          <w:sz w:val="20"/>
        </w:rPr>
        <w:t xml:space="preserve">(ROCM) cases was observed during the second wave. The </w:t>
      </w:r>
      <w:proofErr w:type="spellStart"/>
      <w:r w:rsidRPr="009E6D80">
        <w:rPr>
          <w:rFonts w:ascii="Times New Roman" w:hAnsi="Times New Roman" w:cs="Times New Roman"/>
          <w:sz w:val="20"/>
        </w:rPr>
        <w:t>histopathological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features reflect the background pathogenesis.</w:t>
      </w:r>
    </w:p>
    <w:p w:rsidR="009E6D80" w:rsidRDefault="009E6D80" w:rsidP="009E6D8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9E6D80">
        <w:rPr>
          <w:rFonts w:ascii="Times New Roman" w:hAnsi="Times New Roman" w:cs="Times New Roman"/>
          <w:sz w:val="20"/>
        </w:rPr>
        <w:t xml:space="preserve">The purpose is to analyze the </w:t>
      </w:r>
      <w:proofErr w:type="spellStart"/>
      <w:r w:rsidRPr="009E6D80">
        <w:rPr>
          <w:rFonts w:ascii="Times New Roman" w:hAnsi="Times New Roman" w:cs="Times New Roman"/>
          <w:sz w:val="20"/>
        </w:rPr>
        <w:t>histopathological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features and</w:t>
      </w:r>
      <w:r>
        <w:rPr>
          <w:rFonts w:ascii="Times New Roman" w:hAnsi="Times New Roman" w:cs="Times New Roman"/>
          <w:sz w:val="20"/>
        </w:rPr>
        <w:t xml:space="preserve"> clinical presentation of COVID-</w:t>
      </w:r>
      <w:r w:rsidRPr="009E6D80">
        <w:rPr>
          <w:rFonts w:ascii="Times New Roman" w:hAnsi="Times New Roman" w:cs="Times New Roman"/>
          <w:sz w:val="20"/>
        </w:rPr>
        <w:t xml:space="preserve">19 associated ROCM. </w:t>
      </w:r>
    </w:p>
    <w:p w:rsidR="009E6D80" w:rsidRPr="009E6D80" w:rsidRDefault="009E6D80" w:rsidP="009E6D8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9E6D80">
        <w:rPr>
          <w:rFonts w:ascii="Times New Roman" w:hAnsi="Times New Roman" w:cs="Times New Roman"/>
          <w:b/>
          <w:sz w:val="20"/>
        </w:rPr>
        <w:t>Methodology:</w:t>
      </w:r>
      <w:r w:rsidRPr="009E6D80">
        <w:rPr>
          <w:rFonts w:ascii="Times New Roman" w:hAnsi="Times New Roman" w:cs="Times New Roman"/>
          <w:sz w:val="20"/>
        </w:rPr>
        <w:t xml:space="preserve"> In this retrospective observational study, the clinical details of 89 proven ROCM patients treated during May–July 2021 were collected from the case records. </w:t>
      </w:r>
      <w:proofErr w:type="spellStart"/>
      <w:r w:rsidRPr="009E6D80">
        <w:rPr>
          <w:rFonts w:ascii="Times New Roman" w:hAnsi="Times New Roman" w:cs="Times New Roman"/>
          <w:sz w:val="20"/>
        </w:rPr>
        <w:t>Histopathological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features were correlated with clinical staging groups and outcomes. The mean </w:t>
      </w:r>
      <w:r w:rsidRPr="009E6D80">
        <w:rPr>
          <w:rFonts w:ascii="Times New Roman" w:hAnsi="Times New Roman" w:cs="Times New Roman"/>
          <w:sz w:val="20"/>
        </w:rPr>
        <w:t xml:space="preserve">Neutrophil to Lymphocyte Ratio </w:t>
      </w:r>
      <w:r w:rsidRPr="009E6D80">
        <w:rPr>
          <w:rFonts w:ascii="Times New Roman" w:hAnsi="Times New Roman" w:cs="Times New Roman"/>
          <w:sz w:val="20"/>
        </w:rPr>
        <w:t xml:space="preserve">(NLR) of clinical and outcome groups were compared. </w:t>
      </w:r>
    </w:p>
    <w:p w:rsidR="009E6D80" w:rsidRPr="009E6D80" w:rsidRDefault="009E6D80" w:rsidP="009E6D80">
      <w:pPr>
        <w:spacing w:after="120"/>
        <w:jc w:val="both"/>
        <w:rPr>
          <w:rFonts w:ascii="Times New Roman" w:hAnsi="Times New Roman" w:cs="Times New Roman"/>
          <w:sz w:val="20"/>
        </w:rPr>
      </w:pPr>
      <w:r w:rsidRPr="009E6D80">
        <w:rPr>
          <w:rFonts w:ascii="Times New Roman" w:hAnsi="Times New Roman" w:cs="Times New Roman"/>
          <w:b/>
          <w:sz w:val="20"/>
        </w:rPr>
        <w:t>Findings:</w:t>
      </w:r>
      <w:r w:rsidRPr="009E6D80">
        <w:rPr>
          <w:rFonts w:ascii="Times New Roman" w:hAnsi="Times New Roman" w:cs="Times New Roman"/>
          <w:sz w:val="20"/>
        </w:rPr>
        <w:t xml:space="preserve"> The mean age was 54.71 ± 11.03 years, with majority of male patients (78.7%). Uncontrolled diabetes mellitus was noted in 70.8% of </w:t>
      </w:r>
      <w:r w:rsidRPr="009E6D80">
        <w:rPr>
          <w:rFonts w:ascii="Times New Roman" w:hAnsi="Times New Roman" w:cs="Times New Roman"/>
          <w:sz w:val="20"/>
        </w:rPr>
        <w:t>patients</w:t>
      </w:r>
      <w:r w:rsidRPr="009E6D80">
        <w:rPr>
          <w:rFonts w:ascii="Times New Roman" w:hAnsi="Times New Roman" w:cs="Times New Roman"/>
          <w:sz w:val="20"/>
        </w:rPr>
        <w:t xml:space="preserve"> and 3.4% had normal range of blood sugar. The mean blood sugar was 298.08 ± 99.51 mg/</w:t>
      </w:r>
      <w:proofErr w:type="spellStart"/>
      <w:r w:rsidRPr="009E6D80">
        <w:rPr>
          <w:rFonts w:ascii="Times New Roman" w:hAnsi="Times New Roman" w:cs="Times New Roman"/>
          <w:sz w:val="20"/>
        </w:rPr>
        <w:t>dL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. The mean duration of onset of symptoms of </w:t>
      </w:r>
      <w:proofErr w:type="spellStart"/>
      <w:r w:rsidRPr="009E6D80">
        <w:rPr>
          <w:rFonts w:ascii="Times New Roman" w:hAnsi="Times New Roman" w:cs="Times New Roman"/>
          <w:sz w:val="20"/>
        </w:rPr>
        <w:t>mucormycosis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from the di</w:t>
      </w:r>
      <w:r>
        <w:rPr>
          <w:rFonts w:ascii="Times New Roman" w:hAnsi="Times New Roman" w:cs="Times New Roman"/>
          <w:sz w:val="20"/>
        </w:rPr>
        <w:t>agnosis of COVID-</w:t>
      </w:r>
      <w:r w:rsidRPr="009E6D80">
        <w:rPr>
          <w:rFonts w:ascii="Times New Roman" w:hAnsi="Times New Roman" w:cs="Times New Roman"/>
          <w:sz w:val="20"/>
        </w:rPr>
        <w:t>19 was 17.36 ± 7.392 (3–45) days. Poor outcome with disease progression or death occurred in 21.3% of patients. Clinical group II patients (44.9%) with ROCM stages 3c</w:t>
      </w:r>
      <w:r>
        <w:rPr>
          <w:rFonts w:ascii="Times New Roman" w:hAnsi="Times New Roman" w:cs="Times New Roman"/>
          <w:sz w:val="20"/>
        </w:rPr>
        <w:t xml:space="preserve"> and above had poor outcomes (P=</w:t>
      </w:r>
      <w:r w:rsidRPr="009E6D80">
        <w:rPr>
          <w:rFonts w:ascii="Times New Roman" w:hAnsi="Times New Roman" w:cs="Times New Roman"/>
          <w:sz w:val="20"/>
        </w:rPr>
        <w:t xml:space="preserve">0.005). </w:t>
      </w:r>
      <w:proofErr w:type="spellStart"/>
      <w:r w:rsidRPr="009E6D80">
        <w:rPr>
          <w:rFonts w:ascii="Times New Roman" w:hAnsi="Times New Roman" w:cs="Times New Roman"/>
          <w:sz w:val="20"/>
        </w:rPr>
        <w:t>Histopathological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analysis showed minimal inflammation in 25.8%, </w:t>
      </w:r>
      <w:r w:rsidRPr="009E6D80">
        <w:rPr>
          <w:rFonts w:ascii="Times New Roman" w:hAnsi="Times New Roman" w:cs="Times New Roman"/>
          <w:sz w:val="20"/>
        </w:rPr>
        <w:t xml:space="preserve">Neutrophil Extracellular Trap </w:t>
      </w:r>
      <w:r w:rsidRPr="009E6D80">
        <w:rPr>
          <w:rFonts w:ascii="Times New Roman" w:hAnsi="Times New Roman" w:cs="Times New Roman"/>
          <w:sz w:val="20"/>
        </w:rPr>
        <w:t xml:space="preserve">(NET) in 75.3%, and </w:t>
      </w:r>
      <w:proofErr w:type="spellStart"/>
      <w:r w:rsidRPr="009E6D80">
        <w:rPr>
          <w:rFonts w:ascii="Times New Roman" w:hAnsi="Times New Roman" w:cs="Times New Roman"/>
          <w:sz w:val="20"/>
        </w:rPr>
        <w:t>angio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invasion in 28.1% of patients. Minimal inflammation was associated with clinical group II (P</w:t>
      </w:r>
      <w:r>
        <w:rPr>
          <w:rFonts w:ascii="Times New Roman" w:hAnsi="Times New Roman" w:cs="Times New Roman"/>
          <w:sz w:val="20"/>
        </w:rPr>
        <w:t>=0.004) and poor outcome (P=</w:t>
      </w:r>
      <w:r w:rsidRPr="009E6D80">
        <w:rPr>
          <w:rFonts w:ascii="Times New Roman" w:hAnsi="Times New Roman" w:cs="Times New Roman"/>
          <w:sz w:val="20"/>
        </w:rPr>
        <w:t xml:space="preserve">0.001). </w:t>
      </w:r>
      <w:proofErr w:type="spellStart"/>
      <w:r w:rsidRPr="009E6D80">
        <w:rPr>
          <w:rFonts w:ascii="Times New Roman" w:hAnsi="Times New Roman" w:cs="Times New Roman"/>
          <w:sz w:val="20"/>
        </w:rPr>
        <w:t>Angio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invasion correlated with poo</w:t>
      </w:r>
      <w:r>
        <w:rPr>
          <w:rFonts w:ascii="Times New Roman" w:hAnsi="Times New Roman" w:cs="Times New Roman"/>
          <w:sz w:val="20"/>
        </w:rPr>
        <w:t>r outcome (P=</w:t>
      </w:r>
      <w:r w:rsidRPr="009E6D80">
        <w:rPr>
          <w:rFonts w:ascii="Times New Roman" w:hAnsi="Times New Roman" w:cs="Times New Roman"/>
          <w:sz w:val="20"/>
        </w:rPr>
        <w:t>0.007). Patients with severe clinical group and poor out</w:t>
      </w:r>
      <w:r>
        <w:rPr>
          <w:rFonts w:ascii="Times New Roman" w:hAnsi="Times New Roman" w:cs="Times New Roman"/>
          <w:sz w:val="20"/>
        </w:rPr>
        <w:t>come had higher mean NLR with P=0.017 and P=</w:t>
      </w:r>
      <w:r w:rsidRPr="009E6D80">
        <w:rPr>
          <w:rFonts w:ascii="Times New Roman" w:hAnsi="Times New Roman" w:cs="Times New Roman"/>
          <w:sz w:val="20"/>
        </w:rPr>
        <w:t>0.007, respectively.</w:t>
      </w:r>
    </w:p>
    <w:p w:rsidR="009E6D80" w:rsidRDefault="009E6D80" w:rsidP="009E6D80">
      <w:pPr>
        <w:jc w:val="both"/>
        <w:rPr>
          <w:rFonts w:ascii="Times New Roman" w:hAnsi="Times New Roman" w:cs="Times New Roman"/>
          <w:sz w:val="20"/>
        </w:rPr>
      </w:pPr>
      <w:r w:rsidRPr="009E6D80">
        <w:rPr>
          <w:rFonts w:ascii="Times New Roman" w:hAnsi="Times New Roman" w:cs="Times New Roman"/>
          <w:b/>
          <w:sz w:val="20"/>
        </w:rPr>
        <w:t>Conclusion:</w:t>
      </w:r>
      <w:r w:rsidRPr="009E6D80">
        <w:rPr>
          <w:rFonts w:ascii="Times New Roman" w:hAnsi="Times New Roman" w:cs="Times New Roman"/>
          <w:sz w:val="20"/>
        </w:rPr>
        <w:t xml:space="preserve"> Vision loss and cerebral involvement had poor outcomes. The </w:t>
      </w:r>
      <w:proofErr w:type="spellStart"/>
      <w:r w:rsidRPr="009E6D80">
        <w:rPr>
          <w:rFonts w:ascii="Times New Roman" w:hAnsi="Times New Roman" w:cs="Times New Roman"/>
          <w:sz w:val="20"/>
        </w:rPr>
        <w:t>histopathologic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features such as inflammation and </w:t>
      </w:r>
      <w:proofErr w:type="spellStart"/>
      <w:r w:rsidRPr="009E6D80">
        <w:rPr>
          <w:rFonts w:ascii="Times New Roman" w:hAnsi="Times New Roman" w:cs="Times New Roman"/>
          <w:sz w:val="20"/>
        </w:rPr>
        <w:t>angio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invasion along with NLR aid as prognostic indicators in the management of ROCM. The role of N</w:t>
      </w:r>
      <w:r w:rsidR="005F515A">
        <w:rPr>
          <w:rFonts w:ascii="Times New Roman" w:hAnsi="Times New Roman" w:cs="Times New Roman"/>
          <w:sz w:val="20"/>
        </w:rPr>
        <w:t>ET in the pathogenesis of COVID-</w:t>
      </w:r>
      <w:r w:rsidRPr="009E6D80">
        <w:rPr>
          <w:rFonts w:ascii="Times New Roman" w:hAnsi="Times New Roman" w:cs="Times New Roman"/>
          <w:sz w:val="20"/>
        </w:rPr>
        <w:t>19 associated ROCM needs further studies.</w:t>
      </w:r>
    </w:p>
    <w:p w:rsidR="009E6D80" w:rsidRDefault="009E6D80" w:rsidP="009E6D80">
      <w:pPr>
        <w:jc w:val="center"/>
        <w:rPr>
          <w:rFonts w:ascii="Times New Roman" w:hAnsi="Times New Roman" w:cs="Times New Roman"/>
          <w:sz w:val="20"/>
        </w:rPr>
      </w:pPr>
      <w:r w:rsidRPr="00C43C9C">
        <w:rPr>
          <w:rFonts w:ascii="Arial" w:hAnsi="Arial" w:cs="Arial"/>
          <w:noProof/>
        </w:rPr>
        <w:drawing>
          <wp:inline distT="0" distB="0" distL="0" distR="0" wp14:anchorId="70C0B875" wp14:editId="2C715219">
            <wp:extent cx="984613" cy="984613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418" cy="100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3C9C">
        <w:rPr>
          <w:rFonts w:ascii="Arial" w:hAnsi="Arial" w:cs="Arial"/>
          <w:noProof/>
        </w:rPr>
        <w:drawing>
          <wp:inline distT="0" distB="0" distL="0" distR="0" wp14:anchorId="63690883" wp14:editId="4F7871D1">
            <wp:extent cx="981710" cy="981710"/>
            <wp:effectExtent l="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758" cy="100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D80" w:rsidRPr="009E6D80" w:rsidRDefault="009E6D80" w:rsidP="009E6D80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9E6D80">
        <w:rPr>
          <w:rFonts w:ascii="Times New Roman" w:hAnsi="Times New Roman" w:cs="Times New Roman"/>
          <w:b/>
          <w:i/>
          <w:sz w:val="18"/>
        </w:rPr>
        <w:t>Figure 1.</w:t>
      </w:r>
      <w:commentRangeEnd w:id="0"/>
      <w:proofErr w:type="gramEnd"/>
      <w:r w:rsidR="00ED6521">
        <w:rPr>
          <w:rStyle w:val="CommentReference"/>
        </w:rPr>
        <w:commentReference w:id="0"/>
      </w:r>
    </w:p>
    <w:p w:rsidR="009E6D80" w:rsidRPr="009E6D80" w:rsidRDefault="009E6D80" w:rsidP="009E6D80">
      <w:pPr>
        <w:rPr>
          <w:rFonts w:ascii="Times New Roman" w:hAnsi="Times New Roman" w:cs="Times New Roman"/>
          <w:b/>
          <w:sz w:val="24"/>
        </w:rPr>
      </w:pPr>
      <w:r w:rsidRPr="009E6D80">
        <w:rPr>
          <w:rFonts w:ascii="Times New Roman" w:hAnsi="Times New Roman" w:cs="Times New Roman"/>
          <w:b/>
          <w:sz w:val="24"/>
        </w:rPr>
        <w:t>Biography</w:t>
      </w:r>
    </w:p>
    <w:p w:rsidR="009E6D80" w:rsidRPr="009E6D80" w:rsidRDefault="009E6D80" w:rsidP="009E6D80">
      <w:pPr>
        <w:jc w:val="both"/>
        <w:rPr>
          <w:rFonts w:ascii="Times New Roman" w:hAnsi="Times New Roman" w:cs="Times New Roman"/>
          <w:sz w:val="20"/>
        </w:rPr>
      </w:pPr>
      <w:r w:rsidRPr="009E6D80">
        <w:rPr>
          <w:rFonts w:ascii="Times New Roman" w:hAnsi="Times New Roman" w:cs="Times New Roman"/>
          <w:sz w:val="20"/>
        </w:rPr>
        <w:t>Dr.</w:t>
      </w:r>
      <w:r w:rsidR="005F515A">
        <w:rPr>
          <w:rFonts w:ascii="Times New Roman" w:hAnsi="Times New Roman" w:cs="Times New Roman"/>
          <w:sz w:val="20"/>
        </w:rPr>
        <w:t xml:space="preserve"> </w:t>
      </w:r>
      <w:proofErr w:type="spellStart"/>
      <w:r w:rsidR="005F515A">
        <w:rPr>
          <w:rFonts w:ascii="Times New Roman" w:hAnsi="Times New Roman" w:cs="Times New Roman"/>
          <w:sz w:val="20"/>
        </w:rPr>
        <w:t>Anbuselvi</w:t>
      </w:r>
      <w:proofErr w:type="spellEnd"/>
      <w:r w:rsidR="005F515A">
        <w:rPr>
          <w:rFonts w:ascii="Times New Roman" w:hAnsi="Times New Roman" w:cs="Times New Roman"/>
          <w:sz w:val="20"/>
        </w:rPr>
        <w:t xml:space="preserve"> </w:t>
      </w:r>
      <w:r w:rsidRPr="009E6D80">
        <w:rPr>
          <w:rFonts w:ascii="Times New Roman" w:hAnsi="Times New Roman" w:cs="Times New Roman"/>
          <w:sz w:val="20"/>
        </w:rPr>
        <w:t xml:space="preserve">T has a vast teaching experience in the field of Ophthalmology for both undergraduates and postgraduates. The clinical experience and passion for the effective management </w:t>
      </w:r>
      <w:bookmarkStart w:id="1" w:name="_GoBack"/>
      <w:bookmarkEnd w:id="1"/>
      <w:r w:rsidRPr="009E6D80">
        <w:rPr>
          <w:rFonts w:ascii="Times New Roman" w:hAnsi="Times New Roman" w:cs="Times New Roman"/>
          <w:sz w:val="20"/>
        </w:rPr>
        <w:t xml:space="preserve">of patients in Department of Ophthalmology had led to the successful completion of our study. Experience in the management of COVID-19 patients and the catastrophic presentation of </w:t>
      </w:r>
      <w:proofErr w:type="spellStart"/>
      <w:r w:rsidRPr="009E6D80">
        <w:rPr>
          <w:rFonts w:ascii="Times New Roman" w:hAnsi="Times New Roman" w:cs="Times New Roman"/>
          <w:sz w:val="20"/>
        </w:rPr>
        <w:t>mucormycosis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were the driving force for our study. The Department of Pathology played a pivotal role. This study would pave way for holistic management of rhino-orbital cerebral </w:t>
      </w:r>
      <w:proofErr w:type="spellStart"/>
      <w:r w:rsidRPr="009E6D80">
        <w:rPr>
          <w:rFonts w:ascii="Times New Roman" w:hAnsi="Times New Roman" w:cs="Times New Roman"/>
          <w:sz w:val="20"/>
        </w:rPr>
        <w:t>mucormycosis</w:t>
      </w:r>
      <w:proofErr w:type="spellEnd"/>
      <w:r w:rsidRPr="009E6D80">
        <w:rPr>
          <w:rFonts w:ascii="Times New Roman" w:hAnsi="Times New Roman" w:cs="Times New Roman"/>
          <w:sz w:val="20"/>
        </w:rPr>
        <w:t xml:space="preserve"> in future.</w:t>
      </w:r>
    </w:p>
    <w:sectPr w:rsidR="009E6D80" w:rsidRPr="009E6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7T12:50:00Z" w:initials="SS">
    <w:p w:rsidR="00ED6521" w:rsidRDefault="00ED6521">
      <w:pPr>
        <w:pStyle w:val="CommentText"/>
      </w:pPr>
      <w:r>
        <w:rPr>
          <w:rStyle w:val="CommentReference"/>
        </w:rPr>
        <w:annotationRef/>
      </w:r>
      <w:r>
        <w:t>Add figure description and cite figure in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D80"/>
    <w:rsid w:val="005F515A"/>
    <w:rsid w:val="006C18E5"/>
    <w:rsid w:val="009E6D80"/>
    <w:rsid w:val="00ED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D8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D6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52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D8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D65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5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5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5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5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2022-06-17T07:11:00Z</dcterms:created>
  <dcterms:modified xsi:type="dcterms:W3CDTF">2022-06-17T07:20:00Z</dcterms:modified>
</cp:coreProperties>
</file>