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8B0" w:rsidRPr="006378B0" w:rsidRDefault="008C13A5" w:rsidP="008C13A5">
      <w:pPr>
        <w:spacing w:after="200" w:line="276" w:lineRule="auto"/>
        <w:rPr>
          <w:rFonts w:eastAsia="MS PGothic"/>
          <w:b/>
          <w:color w:val="000000"/>
          <w:sz w:val="32"/>
          <w:szCs w:val="32"/>
          <w:lang w:val="en-GB"/>
        </w:rPr>
      </w:pPr>
      <w:bookmarkStart w:id="0" w:name="_GoBack"/>
      <w:r w:rsidRPr="006378B0">
        <w:rPr>
          <w:rFonts w:eastAsia="MS PGothic"/>
          <w:b/>
          <w:color w:val="000000"/>
          <w:sz w:val="32"/>
          <w:szCs w:val="32"/>
          <w:lang w:val="en-GB"/>
        </w:rPr>
        <w:t xml:space="preserve">The ambivalent green role of </w:t>
      </w:r>
      <w:proofErr w:type="spellStart"/>
      <w:r w:rsidRPr="006378B0">
        <w:rPr>
          <w:rFonts w:eastAsia="MS PGothic"/>
          <w:b/>
          <w:color w:val="000000"/>
          <w:sz w:val="32"/>
          <w:szCs w:val="32"/>
          <w:lang w:val="en-GB"/>
        </w:rPr>
        <w:t>laccase</w:t>
      </w:r>
      <w:proofErr w:type="spellEnd"/>
      <w:r w:rsidRPr="006378B0">
        <w:rPr>
          <w:rFonts w:eastAsia="MS PGothic"/>
          <w:b/>
          <w:color w:val="000000"/>
          <w:sz w:val="32"/>
          <w:szCs w:val="32"/>
          <w:lang w:val="en-GB"/>
        </w:rPr>
        <w:t xml:space="preserve">: From the production of </w:t>
      </w:r>
      <w:proofErr w:type="spellStart"/>
      <w:r w:rsidRPr="006378B0">
        <w:rPr>
          <w:rFonts w:eastAsia="MS PGothic"/>
          <w:b/>
          <w:color w:val="000000"/>
          <w:sz w:val="32"/>
          <w:szCs w:val="32"/>
          <w:lang w:val="en-GB"/>
        </w:rPr>
        <w:t>bioinks</w:t>
      </w:r>
      <w:proofErr w:type="spellEnd"/>
      <w:r w:rsidRPr="006378B0">
        <w:rPr>
          <w:rFonts w:eastAsia="MS PGothic"/>
          <w:b/>
          <w:color w:val="000000"/>
          <w:sz w:val="32"/>
          <w:szCs w:val="32"/>
          <w:lang w:val="en-GB"/>
        </w:rPr>
        <w:t xml:space="preserve"> to the design of de-inking systems</w:t>
      </w:r>
    </w:p>
    <w:p w:rsidR="006378B0" w:rsidRPr="00384DFA" w:rsidRDefault="006378B0" w:rsidP="008C13A5">
      <w:pPr>
        <w:spacing w:after="200" w:line="276" w:lineRule="auto"/>
        <w:rPr>
          <w:rFonts w:eastAsia="MS PGothic" w:hAnsi="Arial"/>
          <w:bCs/>
          <w:color w:val="000000"/>
        </w:rPr>
      </w:pPr>
      <w:r w:rsidRPr="00384DFA">
        <w:rPr>
          <w:rFonts w:eastAsia="MS PGothic" w:hAnsi="Arial"/>
          <w:bCs/>
          <w:iCs/>
          <w:color w:val="000000"/>
        </w:rPr>
        <w:t>Eliana Capecchi</w:t>
      </w:r>
    </w:p>
    <w:p w:rsidR="006378B0" w:rsidRPr="006378B0" w:rsidRDefault="006378B0" w:rsidP="008C13A5">
      <w:pPr>
        <w:spacing w:after="200" w:line="276" w:lineRule="auto"/>
        <w:rPr>
          <w:rFonts w:eastAsia="MS PGothic" w:hAnsi="Arial"/>
          <w:color w:val="000000"/>
          <w:sz w:val="22"/>
          <w:szCs w:val="22"/>
        </w:rPr>
      </w:pPr>
      <w:r w:rsidRPr="006378B0">
        <w:rPr>
          <w:rFonts w:eastAsia="MS PGothic" w:hAnsi="Arial"/>
          <w:color w:val="000000"/>
          <w:sz w:val="22"/>
          <w:szCs w:val="22"/>
        </w:rPr>
        <w:t>University of Tuscia, Italy</w:t>
      </w:r>
    </w:p>
    <w:p w:rsidR="006378B0" w:rsidRPr="006378B0" w:rsidRDefault="006378B0" w:rsidP="008C13A5">
      <w:pPr>
        <w:spacing w:after="200" w:line="276" w:lineRule="auto"/>
        <w:jc w:val="center"/>
        <w:rPr>
          <w:rFonts w:eastAsia="Batang"/>
          <w:b/>
        </w:rPr>
      </w:pPr>
      <w:r w:rsidRPr="006378B0">
        <w:rPr>
          <w:rFonts w:eastAsia="Batang"/>
          <w:b/>
        </w:rPr>
        <w:t>Abstract</w:t>
      </w:r>
    </w:p>
    <w:p w:rsidR="006378B0" w:rsidRPr="006378B0" w:rsidRDefault="006378B0" w:rsidP="008C13A5">
      <w:pPr>
        <w:spacing w:after="200" w:line="276" w:lineRule="auto"/>
        <w:jc w:val="both"/>
        <w:rPr>
          <w:color w:val="000000"/>
          <w:sz w:val="20"/>
          <w:szCs w:val="20"/>
          <w:lang w:val="en-GB"/>
        </w:rPr>
      </w:pP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catalyzes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the reduction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dioxygen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to water in synthetic and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degradative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processes. This ambivalent reactivity is relevant for the design of advanced biotechnology. Considering this ambivalent role, here we describe the application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in the large-scale production of biodegradable tattoo bio-inks, as well as in the formulation of novel de-inking agents for the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decolorization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. The production of bio-inks involves the use of lignin nanoparticles bearing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able to contemporary perform as catalyst</w:t>
      </w:r>
      <w:r w:rsidR="008C13A5">
        <w:rPr>
          <w:rFonts w:eastAsia="MS PGothic"/>
          <w:color w:val="000000"/>
          <w:sz w:val="20"/>
          <w:szCs w:val="20"/>
          <w:lang w:val="en-GB"/>
        </w:rPr>
        <w:t>, vehicle, binder, and additive</w:t>
      </w:r>
      <w:r w:rsidRPr="006378B0">
        <w:rPr>
          <w:rFonts w:eastAsia="MS PGothic"/>
          <w:color w:val="000000"/>
          <w:sz w:val="20"/>
          <w:szCs w:val="20"/>
          <w:lang w:val="en-GB"/>
        </w:rPr>
        <w:t>. These novel platforms work for the “</w:t>
      </w:r>
      <w:r w:rsidRPr="008C13A5">
        <w:rPr>
          <w:rFonts w:eastAsia="MS PGothic"/>
          <w:i/>
          <w:color w:val="000000"/>
          <w:sz w:val="20"/>
          <w:szCs w:val="20"/>
          <w:lang w:val="en-GB"/>
        </w:rPr>
        <w:t>in situ</w:t>
      </w:r>
      <w:r w:rsidRPr="006378B0">
        <w:rPr>
          <w:rFonts w:eastAsia="MS PGothic"/>
          <w:color w:val="000000"/>
          <w:sz w:val="20"/>
          <w:szCs w:val="20"/>
          <w:lang w:val="en-GB"/>
        </w:rPr>
        <w:t xml:space="preserve">” polymerization of pigments covering different shades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color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. Noteworthy, the pigment was stably linked to the surface of lignin nanoparticles and showed high resistance toward UV-visible irradiation and alkaline treatment. Conversely, the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degradative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ability showed by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in association to redox mediators inspired us to prepare topical de</w:t>
      </w:r>
      <w:r w:rsidR="008C13A5">
        <w:rPr>
          <w:rFonts w:eastAsia="MS PGothic"/>
          <w:color w:val="000000"/>
          <w:sz w:val="20"/>
          <w:szCs w:val="20"/>
          <w:lang w:val="en-GB"/>
        </w:rPr>
        <w:t xml:space="preserve">-inking cream against </w:t>
      </w:r>
      <w:proofErr w:type="spellStart"/>
      <w:r w:rsidR="008C13A5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. The </w:t>
      </w:r>
      <w:r w:rsidR="008C13A5" w:rsidRPr="006378B0">
        <w:rPr>
          <w:rFonts w:eastAsia="MS PGothic"/>
          <w:color w:val="000000"/>
          <w:sz w:val="20"/>
          <w:szCs w:val="20"/>
          <w:lang w:val="en-GB"/>
        </w:rPr>
        <w:t>hyper production</w:t>
      </w:r>
      <w:r w:rsidRPr="006378B0">
        <w:rPr>
          <w:rFonts w:eastAsia="MS PGothic"/>
          <w:color w:val="000000"/>
          <w:sz w:val="20"/>
          <w:szCs w:val="20"/>
          <w:lang w:val="en-GB"/>
        </w:rPr>
        <w:t xml:space="preserve">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leads to a panel of hyper-pigmented skin diseases including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melasma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and age spots. The treatment of these diseases often requires the use of inhibitors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tyrosinase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, which act as skin whitening agents in the inhibition of the synthesis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at metabolic level with harmful side effects. In this context, we describe the use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in association with cocktail of natural redox mediators (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</w:t>
      </w:r>
      <w:r w:rsidR="008C13A5" w:rsidRPr="006378B0">
        <w:rPr>
          <w:rFonts w:eastAsia="MS PGothic"/>
          <w:color w:val="000000"/>
          <w:sz w:val="20"/>
          <w:szCs w:val="20"/>
          <w:lang w:val="en-GB"/>
        </w:rPr>
        <w:t>Cocktail Mediator System</w:t>
      </w:r>
      <w:r w:rsidRPr="006378B0">
        <w:rPr>
          <w:rFonts w:eastAsia="MS PGothic"/>
          <w:color w:val="000000"/>
          <w:sz w:val="20"/>
          <w:szCs w:val="20"/>
          <w:lang w:val="en-GB"/>
        </w:rPr>
        <w:t xml:space="preserve">, LCMS) for the efficient degradation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, offering an alternative treatment to systemic skin whitening agents. In addition, LCMS was effective in the degradation of previously described bio-inks. </w:t>
      </w:r>
    </w:p>
    <w:p w:rsidR="006378B0" w:rsidRPr="00384DFA" w:rsidRDefault="006378B0" w:rsidP="008C13A5">
      <w:pPr>
        <w:spacing w:after="200" w:line="276" w:lineRule="auto"/>
        <w:rPr>
          <w:b/>
          <w:lang w:val="en-GB"/>
        </w:rPr>
      </w:pPr>
      <w:r w:rsidRPr="00384DFA">
        <w:rPr>
          <w:b/>
          <w:lang w:val="en-GB"/>
        </w:rPr>
        <w:t>Biography</w:t>
      </w:r>
    </w:p>
    <w:p w:rsidR="006378B0" w:rsidRPr="00427F55" w:rsidRDefault="006378B0" w:rsidP="008C13A5">
      <w:pPr>
        <w:spacing w:after="200" w:line="276" w:lineRule="auto"/>
        <w:jc w:val="both"/>
        <w:rPr>
          <w:lang w:val="en-GB"/>
        </w:rPr>
      </w:pPr>
      <w:r w:rsidRPr="006378B0">
        <w:rPr>
          <w:sz w:val="20"/>
          <w:szCs w:val="20"/>
          <w:lang w:val="en-GB"/>
        </w:rPr>
        <w:t xml:space="preserve">Eliana </w:t>
      </w:r>
      <w:proofErr w:type="spellStart"/>
      <w:r w:rsidRPr="006378B0">
        <w:rPr>
          <w:sz w:val="20"/>
          <w:szCs w:val="20"/>
          <w:lang w:val="en-GB"/>
        </w:rPr>
        <w:t>Capecchi</w:t>
      </w:r>
      <w:proofErr w:type="spellEnd"/>
      <w:r w:rsidRPr="006378B0">
        <w:rPr>
          <w:sz w:val="20"/>
          <w:szCs w:val="20"/>
          <w:lang w:val="en-GB"/>
        </w:rPr>
        <w:t xml:space="preserve"> is a </w:t>
      </w:r>
      <w:r w:rsidR="008C13A5" w:rsidRPr="006378B0">
        <w:rPr>
          <w:sz w:val="20"/>
          <w:szCs w:val="20"/>
          <w:lang w:val="en-GB"/>
        </w:rPr>
        <w:t>PhD</w:t>
      </w:r>
      <w:r w:rsidRPr="006378B0">
        <w:rPr>
          <w:sz w:val="20"/>
          <w:szCs w:val="20"/>
          <w:lang w:val="en-GB"/>
        </w:rPr>
        <w:t xml:space="preserve"> and post-DOC in biotechnology and </w:t>
      </w:r>
      <w:proofErr w:type="spellStart"/>
      <w:r w:rsidRPr="006378B0">
        <w:rPr>
          <w:sz w:val="20"/>
          <w:szCs w:val="20"/>
          <w:lang w:val="en-GB"/>
        </w:rPr>
        <w:t>bionanotechnology</w:t>
      </w:r>
      <w:proofErr w:type="spellEnd"/>
      <w:r w:rsidRPr="006378B0">
        <w:rPr>
          <w:sz w:val="20"/>
          <w:szCs w:val="20"/>
          <w:lang w:val="en-GB"/>
        </w:rPr>
        <w:t xml:space="preserve"> at the University of </w:t>
      </w:r>
      <w:proofErr w:type="spellStart"/>
      <w:r w:rsidRPr="006378B0">
        <w:rPr>
          <w:sz w:val="20"/>
          <w:szCs w:val="20"/>
          <w:lang w:val="en-GB"/>
        </w:rPr>
        <w:t>Tuscia</w:t>
      </w:r>
      <w:proofErr w:type="spellEnd"/>
      <w:r w:rsidRPr="006378B0">
        <w:rPr>
          <w:sz w:val="20"/>
          <w:szCs w:val="20"/>
          <w:lang w:val="en-GB"/>
        </w:rPr>
        <w:t xml:space="preserve">, </w:t>
      </w:r>
      <w:proofErr w:type="spellStart"/>
      <w:r w:rsidRPr="006378B0">
        <w:rPr>
          <w:sz w:val="20"/>
          <w:szCs w:val="20"/>
          <w:lang w:val="en-GB"/>
        </w:rPr>
        <w:t>Viterbo</w:t>
      </w:r>
      <w:proofErr w:type="spellEnd"/>
      <w:r w:rsidRPr="006378B0">
        <w:rPr>
          <w:sz w:val="20"/>
          <w:szCs w:val="20"/>
          <w:lang w:val="en-GB"/>
        </w:rPr>
        <w:t xml:space="preserve"> (Italy). Her areas of research are focused on the preparation and characterization of innovative heterogeneous bio-catalysts based on nanostructured and functional platforms of natural and renewable polyphenols, with particular attention to their application in organic synthesis, </w:t>
      </w:r>
      <w:proofErr w:type="spellStart"/>
      <w:r w:rsidRPr="006378B0">
        <w:rPr>
          <w:sz w:val="20"/>
          <w:szCs w:val="20"/>
          <w:lang w:val="en-GB"/>
        </w:rPr>
        <w:t>cosmeceutical</w:t>
      </w:r>
      <w:proofErr w:type="spellEnd"/>
      <w:r w:rsidRPr="006378B0">
        <w:rPr>
          <w:sz w:val="20"/>
          <w:szCs w:val="20"/>
          <w:lang w:val="en-GB"/>
        </w:rPr>
        <w:t xml:space="preserve"> field and advanced materials. He has published more than 13 papers in reputed journals. </w:t>
      </w:r>
      <w:bookmarkEnd w:id="0"/>
    </w:p>
    <w:sectPr w:rsidR="006378B0" w:rsidRPr="00427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8B0"/>
    <w:rsid w:val="006378B0"/>
    <w:rsid w:val="008077D4"/>
    <w:rsid w:val="008C13A5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2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2</cp:revision>
  <dcterms:created xsi:type="dcterms:W3CDTF">2022-11-22T04:57:00Z</dcterms:created>
  <dcterms:modified xsi:type="dcterms:W3CDTF">2022-11-23T08:43:00Z</dcterms:modified>
</cp:coreProperties>
</file>