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3D3C1B">
      <w:pPr>
        <w:rPr>
          <w:rFonts w:ascii="Times New Roman" w:hAnsi="Times New Roman" w:cs="Times New Roman"/>
          <w:b/>
          <w:sz w:val="32"/>
        </w:rPr>
      </w:pPr>
      <w:proofErr w:type="spellStart"/>
      <w:r w:rsidRPr="003D3C1B">
        <w:rPr>
          <w:rFonts w:ascii="Times New Roman" w:hAnsi="Times New Roman" w:cs="Times New Roman"/>
          <w:b/>
          <w:sz w:val="32"/>
        </w:rPr>
        <w:t>Microphysiological</w:t>
      </w:r>
      <w:proofErr w:type="spellEnd"/>
      <w:r w:rsidRPr="003D3C1B">
        <w:rPr>
          <w:rFonts w:ascii="Times New Roman" w:hAnsi="Times New Roman" w:cs="Times New Roman"/>
          <w:b/>
          <w:sz w:val="32"/>
        </w:rPr>
        <w:t xml:space="preserve"> systems: Tissue chips for drug screening program for safety, efficacy and precision medicine</w:t>
      </w:r>
    </w:p>
    <w:p w:rsidR="003D3C1B" w:rsidRDefault="003D3C1B">
      <w:pPr>
        <w:rPr>
          <w:rFonts w:ascii="Times New Roman" w:hAnsi="Times New Roman" w:cs="Times New Roman"/>
          <w:sz w:val="24"/>
        </w:rPr>
      </w:pPr>
      <w:proofErr w:type="spellStart"/>
      <w:r w:rsidRPr="003D3C1B">
        <w:rPr>
          <w:rFonts w:ascii="Times New Roman" w:hAnsi="Times New Roman" w:cs="Times New Roman"/>
          <w:sz w:val="24"/>
        </w:rPr>
        <w:t>Danilo</w:t>
      </w:r>
      <w:proofErr w:type="spellEnd"/>
      <w:r w:rsidRPr="003D3C1B">
        <w:rPr>
          <w:rFonts w:ascii="Times New Roman" w:hAnsi="Times New Roman" w:cs="Times New Roman"/>
          <w:sz w:val="24"/>
        </w:rPr>
        <w:t xml:space="preserve"> A. </w:t>
      </w:r>
      <w:proofErr w:type="spellStart"/>
      <w:r w:rsidRPr="003D3C1B">
        <w:rPr>
          <w:rFonts w:ascii="Times New Roman" w:hAnsi="Times New Roman" w:cs="Times New Roman"/>
          <w:sz w:val="24"/>
        </w:rPr>
        <w:t>Tagle</w:t>
      </w:r>
      <w:proofErr w:type="spellEnd"/>
    </w:p>
    <w:p w:rsidR="003D3C1B" w:rsidRPr="003D3C1B" w:rsidRDefault="003D3C1B">
      <w:pPr>
        <w:rPr>
          <w:rFonts w:ascii="Times New Roman" w:hAnsi="Times New Roman" w:cs="Times New Roman"/>
        </w:rPr>
      </w:pPr>
      <w:r w:rsidRPr="003D3C1B">
        <w:rPr>
          <w:rFonts w:ascii="Times New Roman" w:hAnsi="Times New Roman" w:cs="Times New Roman"/>
        </w:rPr>
        <w:t>National Center for Advancing Translational Sciences, USA</w:t>
      </w:r>
    </w:p>
    <w:p w:rsidR="003D3C1B" w:rsidRPr="003D3C1B" w:rsidRDefault="003D3C1B" w:rsidP="003D3C1B">
      <w:pPr>
        <w:jc w:val="center"/>
        <w:rPr>
          <w:rFonts w:ascii="Times New Roman" w:hAnsi="Times New Roman" w:cs="Times New Roman"/>
          <w:b/>
          <w:sz w:val="24"/>
        </w:rPr>
      </w:pPr>
      <w:r w:rsidRPr="003D3C1B">
        <w:rPr>
          <w:rFonts w:ascii="Times New Roman" w:hAnsi="Times New Roman" w:cs="Times New Roman"/>
          <w:b/>
          <w:sz w:val="24"/>
        </w:rPr>
        <w:t>Abstract</w:t>
      </w:r>
    </w:p>
    <w:p w:rsidR="003D3C1B" w:rsidRDefault="003D3C1B" w:rsidP="003D3C1B">
      <w:pPr>
        <w:jc w:val="both"/>
        <w:rPr>
          <w:rFonts w:ascii="Times New Roman" w:hAnsi="Times New Roman" w:cs="Times New Roman"/>
          <w:sz w:val="20"/>
        </w:rPr>
      </w:pPr>
      <w:r w:rsidRPr="003D3C1B">
        <w:rPr>
          <w:rFonts w:ascii="Times New Roman" w:hAnsi="Times New Roman" w:cs="Times New Roman"/>
          <w:sz w:val="20"/>
        </w:rPr>
        <w:t xml:space="preserve">Approximately 90% of drugs fail in human clinical trials due to adverse reactions and/or due to lack of efficacy. These failures can be attributed to poor predictability of human response from animal studies and 2D </w:t>
      </w:r>
      <w:r w:rsidRPr="003D3C1B">
        <w:rPr>
          <w:rFonts w:ascii="Times New Roman" w:hAnsi="Times New Roman" w:cs="Times New Roman"/>
          <w:i/>
          <w:sz w:val="20"/>
        </w:rPr>
        <w:t>in vitro</w:t>
      </w:r>
      <w:r w:rsidRPr="003D3C1B">
        <w:rPr>
          <w:rFonts w:ascii="Times New Roman" w:hAnsi="Times New Roman" w:cs="Times New Roman"/>
          <w:sz w:val="20"/>
        </w:rPr>
        <w:t xml:space="preserve"> models being used preclinical drug development. To address these challenges, the Tissue Chips or Micro physiological Systems for Drug Screening program support the development of alternative approaches for more predictive readouts of toxicity and efficacy of candidate drugs. Tissue chips are bioengineered 3D microfluidic chips with human-derived cells and tissues that mimic the </w:t>
      </w:r>
      <w:proofErr w:type="spellStart"/>
      <w:r w:rsidRPr="003D3C1B">
        <w:rPr>
          <w:rFonts w:ascii="Times New Roman" w:hAnsi="Times New Roman" w:cs="Times New Roman"/>
          <w:sz w:val="20"/>
        </w:rPr>
        <w:t>cytoarchitecture</w:t>
      </w:r>
      <w:proofErr w:type="spellEnd"/>
      <w:r w:rsidRPr="003D3C1B">
        <w:rPr>
          <w:rFonts w:ascii="Times New Roman" w:hAnsi="Times New Roman" w:cs="Times New Roman"/>
          <w:sz w:val="20"/>
        </w:rPr>
        <w:t xml:space="preserve"> and functional units of human organs and systems. Initially tissue chips were used for </w:t>
      </w:r>
      <w:r w:rsidRPr="003D3C1B">
        <w:rPr>
          <w:rFonts w:ascii="Times New Roman" w:hAnsi="Times New Roman" w:cs="Times New Roman"/>
          <w:i/>
          <w:sz w:val="20"/>
        </w:rPr>
        <w:t>in vitro</w:t>
      </w:r>
      <w:r w:rsidRPr="003D3C1B">
        <w:rPr>
          <w:rFonts w:ascii="Times New Roman" w:hAnsi="Times New Roman" w:cs="Times New Roman"/>
          <w:sz w:val="20"/>
        </w:rPr>
        <w:t xml:space="preserve"> models for risk assessment in safety pharmacology. As an example, human liver on chips have been shown to have 87% sensitivity and 100% specificity in anticipating the drug toxicities of 22 compounds with known hepatotoxic (was advanced to human use based on previous preclinical data but was withdrawn due to toxicities which collectively are responsible for more than 200 patient deaths and 10 liver transplants) outperforming liver spheroids which showed a sensitivity of only 47%. In addition to toxicity studies in drug development, tissue chips are also being used to model various human diseases and conditions when animal models do not mirror the pathology or are unavailable. Tissue chips was used to model chronic inflammatory demyelinating polyneuropathy and multifocal motor neuropathy, a pair of rare, devastating neuromuscular diseases, which led to the identification of a repurposed dru</w:t>
      </w:r>
      <w:bookmarkStart w:id="0" w:name="_GoBack"/>
      <w:bookmarkEnd w:id="0"/>
      <w:r w:rsidRPr="003D3C1B">
        <w:rPr>
          <w:rFonts w:ascii="Times New Roman" w:hAnsi="Times New Roman" w:cs="Times New Roman"/>
          <w:sz w:val="20"/>
        </w:rPr>
        <w:t>g and approval by the FDA for phase 2 clinical trial. A more recent application of tissue chips is on its use as “clinical trials on chips” to inform clinical trial design and implementation. This new initiative will help establish patient recruitment criteria, stratify patients to determine who the best responders to specific therapies are, include population diversity, and identify clinically relevant biomarkers. Presentation will also include an overview over the decade of support from NIH, partnerships with various stakeholders including the FDA and pharmaceutical industry.</w:t>
      </w:r>
    </w:p>
    <w:p w:rsidR="003D3C1B" w:rsidRDefault="003D3C1B" w:rsidP="003D3C1B">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02AF198">
            <wp:extent cx="3164205" cy="27070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2707005"/>
                    </a:xfrm>
                    <a:prstGeom prst="rect">
                      <a:avLst/>
                    </a:prstGeom>
                    <a:noFill/>
                  </pic:spPr>
                </pic:pic>
              </a:graphicData>
            </a:graphic>
          </wp:inline>
        </w:drawing>
      </w:r>
    </w:p>
    <w:p w:rsidR="003D3C1B" w:rsidRPr="003D3C1B" w:rsidRDefault="003D3C1B" w:rsidP="003D3C1B">
      <w:pPr>
        <w:jc w:val="center"/>
        <w:rPr>
          <w:rFonts w:ascii="Times New Roman" w:hAnsi="Times New Roman" w:cs="Times New Roman"/>
          <w:b/>
          <w:i/>
          <w:sz w:val="18"/>
        </w:rPr>
      </w:pPr>
      <w:commentRangeStart w:id="1"/>
      <w:proofErr w:type="gramStart"/>
      <w:r w:rsidRPr="003D3C1B">
        <w:rPr>
          <w:rFonts w:ascii="Times New Roman" w:hAnsi="Times New Roman" w:cs="Times New Roman"/>
          <w:b/>
          <w:i/>
          <w:sz w:val="18"/>
        </w:rPr>
        <w:t>Figure 1.</w:t>
      </w:r>
      <w:commentRangeEnd w:id="1"/>
      <w:proofErr w:type="gramEnd"/>
      <w:r w:rsidR="004E4F8C">
        <w:rPr>
          <w:rStyle w:val="CommentReference"/>
        </w:rPr>
        <w:commentReference w:id="1"/>
      </w:r>
    </w:p>
    <w:p w:rsidR="003D3C1B" w:rsidRPr="003D3C1B" w:rsidRDefault="003D3C1B" w:rsidP="003D3C1B">
      <w:pPr>
        <w:rPr>
          <w:rFonts w:ascii="Times New Roman" w:hAnsi="Times New Roman" w:cs="Times New Roman"/>
          <w:b/>
          <w:sz w:val="24"/>
        </w:rPr>
      </w:pPr>
      <w:r w:rsidRPr="003D3C1B">
        <w:rPr>
          <w:rFonts w:ascii="Times New Roman" w:hAnsi="Times New Roman" w:cs="Times New Roman"/>
          <w:b/>
          <w:sz w:val="24"/>
        </w:rPr>
        <w:lastRenderedPageBreak/>
        <w:t>Biography</w:t>
      </w:r>
    </w:p>
    <w:p w:rsidR="003D3C1B" w:rsidRPr="003D3C1B" w:rsidRDefault="003D3C1B" w:rsidP="003D3C1B">
      <w:pPr>
        <w:jc w:val="both"/>
        <w:rPr>
          <w:rFonts w:ascii="Times New Roman" w:hAnsi="Times New Roman" w:cs="Times New Roman"/>
          <w:sz w:val="20"/>
        </w:rPr>
      </w:pPr>
      <w:proofErr w:type="spellStart"/>
      <w:r w:rsidRPr="003D3C1B">
        <w:rPr>
          <w:rFonts w:ascii="Times New Roman" w:hAnsi="Times New Roman" w:cs="Times New Roman"/>
          <w:sz w:val="20"/>
        </w:rPr>
        <w:t>Danilo</w:t>
      </w:r>
      <w:proofErr w:type="spellEnd"/>
      <w:r w:rsidRPr="003D3C1B">
        <w:rPr>
          <w:rFonts w:ascii="Times New Roman" w:hAnsi="Times New Roman" w:cs="Times New Roman"/>
          <w:sz w:val="20"/>
        </w:rPr>
        <w:t xml:space="preserve"> </w:t>
      </w:r>
      <w:proofErr w:type="spellStart"/>
      <w:r w:rsidRPr="003D3C1B">
        <w:rPr>
          <w:rFonts w:ascii="Times New Roman" w:hAnsi="Times New Roman" w:cs="Times New Roman"/>
          <w:sz w:val="20"/>
        </w:rPr>
        <w:t>Tagle</w:t>
      </w:r>
      <w:proofErr w:type="spellEnd"/>
      <w:r w:rsidRPr="003D3C1B">
        <w:rPr>
          <w:rFonts w:ascii="Times New Roman" w:hAnsi="Times New Roman" w:cs="Times New Roman"/>
          <w:sz w:val="20"/>
        </w:rPr>
        <w:t xml:space="preserve"> is Director, Office of Special Initiatives at the National Center for Advancing Translational Sciences (NCATS) of the National Institutes of Health (NIH) where he coordinates efforts towards developing micro physiological systems or organs on chips. He also coordinates efforts on 3D bio printing for drug discovery and development, on automated chemistry, on the use of electronic nose technology for disease diagnosis, and the clinical utility of secreted RNA in exosomes for biomarker and therapy development. He has served on numerous committees, advisory boards, and editorial boards. Dan obtai</w:t>
      </w:r>
      <w:r>
        <w:rPr>
          <w:rFonts w:ascii="Times New Roman" w:hAnsi="Times New Roman" w:cs="Times New Roman"/>
          <w:sz w:val="20"/>
        </w:rPr>
        <w:t>ned his PhD</w:t>
      </w:r>
      <w:r w:rsidRPr="003D3C1B">
        <w:rPr>
          <w:rFonts w:ascii="Times New Roman" w:hAnsi="Times New Roman" w:cs="Times New Roman"/>
          <w:sz w:val="20"/>
        </w:rPr>
        <w:t xml:space="preserve"> in molecular biology and genetics from Wayne State University School of Medicine. He was an NIH National Research Service Award postdoctoral fellow in human genetics at the University of Michigan. Dan has authored many scientific publications and has garnered numerous awards, including more recently the Roscoe O. Brady Award for Innovation and Accomplishment; the Henry J. Heimlich Award for Innovative Medicine; and the HHS Secretary's Award for Distinguished Service: Rapid Acceleration of Diagnostics (</w:t>
      </w:r>
      <w:proofErr w:type="spellStart"/>
      <w:r w:rsidRPr="003D3C1B">
        <w:rPr>
          <w:rFonts w:ascii="Times New Roman" w:hAnsi="Times New Roman" w:cs="Times New Roman"/>
          <w:sz w:val="20"/>
        </w:rPr>
        <w:t>RADx</w:t>
      </w:r>
      <w:proofErr w:type="spellEnd"/>
      <w:r w:rsidRPr="003D3C1B">
        <w:rPr>
          <w:rFonts w:ascii="Times New Roman" w:hAnsi="Times New Roman" w:cs="Times New Roman"/>
          <w:sz w:val="20"/>
        </w:rPr>
        <w:t>) Initiative.</w:t>
      </w:r>
    </w:p>
    <w:sectPr w:rsidR="003D3C1B" w:rsidRPr="003D3C1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9-27T14:47:00Z" w:initials="SS">
    <w:p w:rsidR="004E4F8C" w:rsidRDefault="004E4F8C">
      <w:pPr>
        <w:pStyle w:val="CommentText"/>
      </w:pPr>
      <w:r>
        <w:rPr>
          <w:rStyle w:val="CommentReference"/>
        </w:rPr>
        <w:annotationRef/>
      </w:r>
      <w:r>
        <w:t>Add figure description and cite in abstract content</w:t>
      </w:r>
      <w:proofErr w:type="gramStart"/>
      <w:r>
        <w:t>..</w:t>
      </w:r>
      <w:proofErr w:type="gramEnd"/>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C1B"/>
    <w:rsid w:val="003D3C1B"/>
    <w:rsid w:val="00474203"/>
    <w:rsid w:val="004E4F8C"/>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3C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C1B"/>
    <w:rPr>
      <w:rFonts w:ascii="Tahoma" w:hAnsi="Tahoma" w:cs="Tahoma"/>
      <w:sz w:val="16"/>
      <w:szCs w:val="16"/>
    </w:rPr>
  </w:style>
  <w:style w:type="character" w:styleId="CommentReference">
    <w:name w:val="annotation reference"/>
    <w:basedOn w:val="DefaultParagraphFont"/>
    <w:uiPriority w:val="99"/>
    <w:semiHidden/>
    <w:unhideWhenUsed/>
    <w:rsid w:val="004E4F8C"/>
    <w:rPr>
      <w:sz w:val="16"/>
      <w:szCs w:val="16"/>
    </w:rPr>
  </w:style>
  <w:style w:type="paragraph" w:styleId="CommentText">
    <w:name w:val="annotation text"/>
    <w:basedOn w:val="Normal"/>
    <w:link w:val="CommentTextChar"/>
    <w:uiPriority w:val="99"/>
    <w:semiHidden/>
    <w:unhideWhenUsed/>
    <w:rsid w:val="004E4F8C"/>
    <w:pPr>
      <w:spacing w:line="240" w:lineRule="auto"/>
    </w:pPr>
    <w:rPr>
      <w:sz w:val="20"/>
      <w:szCs w:val="20"/>
    </w:rPr>
  </w:style>
  <w:style w:type="character" w:customStyle="1" w:styleId="CommentTextChar">
    <w:name w:val="Comment Text Char"/>
    <w:basedOn w:val="DefaultParagraphFont"/>
    <w:link w:val="CommentText"/>
    <w:uiPriority w:val="99"/>
    <w:semiHidden/>
    <w:rsid w:val="004E4F8C"/>
    <w:rPr>
      <w:sz w:val="20"/>
      <w:szCs w:val="20"/>
    </w:rPr>
  </w:style>
  <w:style w:type="paragraph" w:styleId="CommentSubject">
    <w:name w:val="annotation subject"/>
    <w:basedOn w:val="CommentText"/>
    <w:next w:val="CommentText"/>
    <w:link w:val="CommentSubjectChar"/>
    <w:uiPriority w:val="99"/>
    <w:semiHidden/>
    <w:unhideWhenUsed/>
    <w:rsid w:val="004E4F8C"/>
    <w:rPr>
      <w:b/>
      <w:bCs/>
    </w:rPr>
  </w:style>
  <w:style w:type="character" w:customStyle="1" w:styleId="CommentSubjectChar">
    <w:name w:val="Comment Subject Char"/>
    <w:basedOn w:val="CommentTextChar"/>
    <w:link w:val="CommentSubject"/>
    <w:uiPriority w:val="99"/>
    <w:semiHidden/>
    <w:rsid w:val="004E4F8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3C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C1B"/>
    <w:rPr>
      <w:rFonts w:ascii="Tahoma" w:hAnsi="Tahoma" w:cs="Tahoma"/>
      <w:sz w:val="16"/>
      <w:szCs w:val="16"/>
    </w:rPr>
  </w:style>
  <w:style w:type="character" w:styleId="CommentReference">
    <w:name w:val="annotation reference"/>
    <w:basedOn w:val="DefaultParagraphFont"/>
    <w:uiPriority w:val="99"/>
    <w:semiHidden/>
    <w:unhideWhenUsed/>
    <w:rsid w:val="004E4F8C"/>
    <w:rPr>
      <w:sz w:val="16"/>
      <w:szCs w:val="16"/>
    </w:rPr>
  </w:style>
  <w:style w:type="paragraph" w:styleId="CommentText">
    <w:name w:val="annotation text"/>
    <w:basedOn w:val="Normal"/>
    <w:link w:val="CommentTextChar"/>
    <w:uiPriority w:val="99"/>
    <w:semiHidden/>
    <w:unhideWhenUsed/>
    <w:rsid w:val="004E4F8C"/>
    <w:pPr>
      <w:spacing w:line="240" w:lineRule="auto"/>
    </w:pPr>
    <w:rPr>
      <w:sz w:val="20"/>
      <w:szCs w:val="20"/>
    </w:rPr>
  </w:style>
  <w:style w:type="character" w:customStyle="1" w:styleId="CommentTextChar">
    <w:name w:val="Comment Text Char"/>
    <w:basedOn w:val="DefaultParagraphFont"/>
    <w:link w:val="CommentText"/>
    <w:uiPriority w:val="99"/>
    <w:semiHidden/>
    <w:rsid w:val="004E4F8C"/>
    <w:rPr>
      <w:sz w:val="20"/>
      <w:szCs w:val="20"/>
    </w:rPr>
  </w:style>
  <w:style w:type="paragraph" w:styleId="CommentSubject">
    <w:name w:val="annotation subject"/>
    <w:basedOn w:val="CommentText"/>
    <w:next w:val="CommentText"/>
    <w:link w:val="CommentSubjectChar"/>
    <w:uiPriority w:val="99"/>
    <w:semiHidden/>
    <w:unhideWhenUsed/>
    <w:rsid w:val="004E4F8C"/>
    <w:rPr>
      <w:b/>
      <w:bCs/>
    </w:rPr>
  </w:style>
  <w:style w:type="character" w:customStyle="1" w:styleId="CommentSubjectChar">
    <w:name w:val="Comment Subject Char"/>
    <w:basedOn w:val="CommentTextChar"/>
    <w:link w:val="CommentSubject"/>
    <w:uiPriority w:val="99"/>
    <w:semiHidden/>
    <w:rsid w:val="004E4F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533</Words>
  <Characters>3039</Characters>
  <Application>Microsoft Office Word</Application>
  <DocSecurity>0</DocSecurity>
  <Lines>25</Lines>
  <Paragraphs>7</Paragraphs>
  <ScaleCrop>false</ScaleCrop>
  <Company/>
  <LinksUpToDate>false</LinksUpToDate>
  <CharactersWithSpaces>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2022-09-27T09:11:00Z</dcterms:created>
  <dcterms:modified xsi:type="dcterms:W3CDTF">2022-09-27T09:17:00Z</dcterms:modified>
</cp:coreProperties>
</file>