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F85533">
      <w:pPr>
        <w:rPr>
          <w:rFonts w:ascii="Times New Roman" w:hAnsi="Times New Roman" w:cs="Times New Roman"/>
          <w:b/>
          <w:sz w:val="32"/>
        </w:rPr>
      </w:pPr>
      <w:commentRangeStart w:id="0"/>
      <w:r w:rsidRPr="00F85533">
        <w:rPr>
          <w:rFonts w:ascii="Times New Roman" w:hAnsi="Times New Roman" w:cs="Times New Roman"/>
          <w:b/>
          <w:sz w:val="32"/>
        </w:rPr>
        <w:t xml:space="preserve">Overcoming limitations in </w:t>
      </w:r>
      <w:proofErr w:type="spellStart"/>
      <w:r w:rsidRPr="00F85533">
        <w:rPr>
          <w:rFonts w:ascii="Times New Roman" w:hAnsi="Times New Roman" w:cs="Times New Roman"/>
          <w:b/>
          <w:sz w:val="32"/>
        </w:rPr>
        <w:t>decarboxylative</w:t>
      </w:r>
      <w:proofErr w:type="spellEnd"/>
      <w:r w:rsidRPr="00F85533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F85533">
        <w:rPr>
          <w:rFonts w:ascii="Times New Roman" w:hAnsi="Times New Roman" w:cs="Times New Roman"/>
          <w:b/>
          <w:sz w:val="32"/>
        </w:rPr>
        <w:t>arylation</w:t>
      </w:r>
      <w:proofErr w:type="spellEnd"/>
      <w:r w:rsidRPr="00F85533">
        <w:rPr>
          <w:rFonts w:ascii="Times New Roman" w:hAnsi="Times New Roman" w:cs="Times New Roman"/>
          <w:b/>
          <w:sz w:val="32"/>
        </w:rPr>
        <w:t xml:space="preserve"> </w:t>
      </w:r>
      <w:r w:rsidRPr="00F85533">
        <w:rPr>
          <w:rFonts w:ascii="Times New Roman" w:hAnsi="Times New Roman" w:cs="Times New Roman"/>
          <w:b/>
          <w:i/>
          <w:sz w:val="32"/>
        </w:rPr>
        <w:t>via</w:t>
      </w:r>
      <w:r w:rsidRPr="00F85533">
        <w:rPr>
          <w:rFonts w:ascii="Times New Roman" w:hAnsi="Times New Roman" w:cs="Times New Roman"/>
          <w:b/>
          <w:sz w:val="32"/>
        </w:rPr>
        <w:t xml:space="preserve"> Ag-Ni electro catalysis</w:t>
      </w:r>
      <w:commentRangeEnd w:id="0"/>
      <w:r w:rsidR="00B17D11">
        <w:rPr>
          <w:rStyle w:val="CommentReference"/>
        </w:rPr>
        <w:commentReference w:id="0"/>
      </w:r>
    </w:p>
    <w:p w:rsidR="00F85533" w:rsidRDefault="00F85533">
      <w:pPr>
        <w:rPr>
          <w:rFonts w:ascii="Times New Roman" w:hAnsi="Times New Roman" w:cs="Times New Roman"/>
          <w:sz w:val="24"/>
        </w:rPr>
      </w:pPr>
      <w:proofErr w:type="spellStart"/>
      <w:r w:rsidRPr="00F85533">
        <w:rPr>
          <w:rFonts w:ascii="Times New Roman" w:hAnsi="Times New Roman" w:cs="Times New Roman"/>
          <w:sz w:val="24"/>
        </w:rPr>
        <w:t>TeYu</w:t>
      </w:r>
      <w:proofErr w:type="spellEnd"/>
      <w:r w:rsidRPr="00F85533">
        <w:rPr>
          <w:rFonts w:ascii="Times New Roman" w:hAnsi="Times New Roman" w:cs="Times New Roman"/>
          <w:sz w:val="24"/>
        </w:rPr>
        <w:t xml:space="preserve"> Chen</w:t>
      </w:r>
    </w:p>
    <w:p w:rsidR="00F85533" w:rsidRPr="00F85533" w:rsidRDefault="00F85533">
      <w:pPr>
        <w:rPr>
          <w:rFonts w:ascii="Times New Roman" w:hAnsi="Times New Roman" w:cs="Times New Roman"/>
        </w:rPr>
      </w:pPr>
      <w:proofErr w:type="spellStart"/>
      <w:r w:rsidRPr="00F85533">
        <w:rPr>
          <w:rFonts w:ascii="Times New Roman" w:hAnsi="Times New Roman" w:cs="Times New Roman"/>
        </w:rPr>
        <w:t>Biogen</w:t>
      </w:r>
      <w:proofErr w:type="spellEnd"/>
      <w:r w:rsidRPr="00F85533">
        <w:rPr>
          <w:rFonts w:ascii="Times New Roman" w:hAnsi="Times New Roman" w:cs="Times New Roman"/>
        </w:rPr>
        <w:t>, USA</w:t>
      </w:r>
    </w:p>
    <w:p w:rsidR="00F85533" w:rsidRPr="00F85533" w:rsidRDefault="00F85533" w:rsidP="00F85533">
      <w:pPr>
        <w:jc w:val="center"/>
        <w:rPr>
          <w:rFonts w:ascii="Times New Roman" w:hAnsi="Times New Roman" w:cs="Times New Roman"/>
          <w:b/>
          <w:sz w:val="24"/>
        </w:rPr>
      </w:pPr>
      <w:r w:rsidRPr="00F85533">
        <w:rPr>
          <w:rFonts w:ascii="Times New Roman" w:hAnsi="Times New Roman" w:cs="Times New Roman"/>
          <w:b/>
          <w:sz w:val="24"/>
        </w:rPr>
        <w:t>Abstract</w:t>
      </w:r>
    </w:p>
    <w:p w:rsidR="00F85533" w:rsidRDefault="00F85533" w:rsidP="00F85533">
      <w:pPr>
        <w:jc w:val="both"/>
        <w:rPr>
          <w:rFonts w:ascii="Times New Roman" w:hAnsi="Times New Roman" w:cs="Times New Roman"/>
          <w:sz w:val="20"/>
        </w:rPr>
      </w:pPr>
      <w:r w:rsidRPr="00F85533">
        <w:rPr>
          <w:rFonts w:ascii="Times New Roman" w:hAnsi="Times New Roman" w:cs="Times New Roman"/>
          <w:sz w:val="20"/>
        </w:rPr>
        <w:t xml:space="preserve">A useful protocol for achieving </w:t>
      </w:r>
      <w:proofErr w:type="spellStart"/>
      <w:r w:rsidR="0005035B" w:rsidRPr="00F85533">
        <w:rPr>
          <w:rFonts w:ascii="Times New Roman" w:hAnsi="Times New Roman" w:cs="Times New Roman"/>
          <w:sz w:val="20"/>
        </w:rPr>
        <w:t>Decarboxylative</w:t>
      </w:r>
      <w:proofErr w:type="spellEnd"/>
      <w:r w:rsidR="0005035B" w:rsidRPr="00F85533">
        <w:rPr>
          <w:rFonts w:ascii="Times New Roman" w:hAnsi="Times New Roman" w:cs="Times New Roman"/>
          <w:sz w:val="20"/>
        </w:rPr>
        <w:t xml:space="preserve"> Cross Coupling</w:t>
      </w:r>
      <w:r w:rsidRPr="00F85533">
        <w:rPr>
          <w:rFonts w:ascii="Times New Roman" w:hAnsi="Times New Roman" w:cs="Times New Roman"/>
          <w:sz w:val="20"/>
        </w:rPr>
        <w:t xml:space="preserve"> (DCC) of redox-active esters (RAE, isolated or generated </w:t>
      </w:r>
      <w:r w:rsidRPr="00F85533">
        <w:rPr>
          <w:rFonts w:ascii="Times New Roman" w:hAnsi="Times New Roman" w:cs="Times New Roman"/>
          <w:i/>
          <w:sz w:val="20"/>
        </w:rPr>
        <w:t>in situ</w:t>
      </w:r>
      <w:r w:rsidRPr="00F85533">
        <w:rPr>
          <w:rFonts w:ascii="Times New Roman" w:hAnsi="Times New Roman" w:cs="Times New Roman"/>
          <w:sz w:val="20"/>
        </w:rPr>
        <w:t>) and halo</w:t>
      </w:r>
      <w:r>
        <w:rPr>
          <w:rFonts w:ascii="Times New Roman" w:hAnsi="Times New Roman" w:cs="Times New Roman"/>
          <w:sz w:val="20"/>
        </w:rPr>
        <w:t xml:space="preserve"> </w:t>
      </w:r>
      <w:r w:rsidRPr="00F85533">
        <w:rPr>
          <w:rFonts w:ascii="Times New Roman" w:hAnsi="Times New Roman" w:cs="Times New Roman"/>
          <w:sz w:val="20"/>
        </w:rPr>
        <w:t>(hetero)</w:t>
      </w:r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85533">
        <w:rPr>
          <w:rFonts w:ascii="Times New Roman" w:hAnsi="Times New Roman" w:cs="Times New Roman"/>
          <w:sz w:val="20"/>
        </w:rPr>
        <w:t>arenes</w:t>
      </w:r>
      <w:proofErr w:type="spellEnd"/>
      <w:r w:rsidRPr="00F85533">
        <w:rPr>
          <w:rFonts w:ascii="Times New Roman" w:hAnsi="Times New Roman" w:cs="Times New Roman"/>
          <w:sz w:val="20"/>
        </w:rPr>
        <w:t xml:space="preserve"> is reported. This pragmatically focused study empl</w:t>
      </w:r>
      <w:r>
        <w:rPr>
          <w:rFonts w:ascii="Times New Roman" w:hAnsi="Times New Roman" w:cs="Times New Roman"/>
          <w:sz w:val="20"/>
        </w:rPr>
        <w:t>oys a unique Ag-Ni electro cat</w:t>
      </w:r>
      <w:r w:rsidRPr="00F85533">
        <w:rPr>
          <w:rFonts w:ascii="Times New Roman" w:hAnsi="Times New Roman" w:cs="Times New Roman"/>
          <w:sz w:val="20"/>
        </w:rPr>
        <w:t>alytic platform to overcome numerous limitations that have plagued this strategically powerf</w:t>
      </w:r>
      <w:r>
        <w:rPr>
          <w:rFonts w:ascii="Times New Roman" w:hAnsi="Times New Roman" w:cs="Times New Roman"/>
          <w:sz w:val="20"/>
        </w:rPr>
        <w:t>ul transformation. In its opti</w:t>
      </w:r>
      <w:r w:rsidRPr="00F85533">
        <w:rPr>
          <w:rFonts w:ascii="Times New Roman" w:hAnsi="Times New Roman" w:cs="Times New Roman"/>
          <w:sz w:val="20"/>
        </w:rPr>
        <w:t xml:space="preserve">mized form coupling partners can be combined in a surprisingly simple way: open to the air, technical grade solvents, an inexpensive ligand and Ni source, </w:t>
      </w:r>
      <w:proofErr w:type="spellStart"/>
      <w:r w:rsidRPr="00F85533">
        <w:rPr>
          <w:rFonts w:ascii="Times New Roman" w:hAnsi="Times New Roman" w:cs="Times New Roman"/>
          <w:sz w:val="20"/>
        </w:rPr>
        <w:t>substoichiometric</w:t>
      </w:r>
      <w:proofErr w:type="spellEnd"/>
      <w:r w:rsidRPr="00F85533">
        <w:rPr>
          <w:rFonts w:ascii="Times New Roman" w:hAnsi="Times New Roman" w:cs="Times New Roman"/>
          <w:sz w:val="20"/>
        </w:rPr>
        <w:t xml:space="preserve"> AgNO</w:t>
      </w:r>
      <w:r w:rsidRPr="00F85533">
        <w:rPr>
          <w:rFonts w:ascii="Times New Roman" w:hAnsi="Times New Roman" w:cs="Times New Roman"/>
          <w:sz w:val="20"/>
          <w:vertAlign w:val="subscript"/>
        </w:rPr>
        <w:t>3</w:t>
      </w:r>
      <w:r w:rsidRPr="00F85533">
        <w:rPr>
          <w:rFonts w:ascii="Times New Roman" w:hAnsi="Times New Roman" w:cs="Times New Roman"/>
          <w:sz w:val="20"/>
        </w:rPr>
        <w:t xml:space="preserve">, proceeding at room temperature in about 2 hours with a simple commercial </w:t>
      </w:r>
      <w:proofErr w:type="spellStart"/>
      <w:r w:rsidRPr="00F85533">
        <w:rPr>
          <w:rFonts w:ascii="Times New Roman" w:hAnsi="Times New Roman" w:cs="Times New Roman"/>
          <w:sz w:val="20"/>
        </w:rPr>
        <w:t>potentiostat</w:t>
      </w:r>
      <w:proofErr w:type="spellEnd"/>
      <w:r w:rsidRPr="00F85533">
        <w:rPr>
          <w:rFonts w:ascii="Times New Roman" w:hAnsi="Times New Roman" w:cs="Times New Roman"/>
          <w:sz w:val="20"/>
        </w:rPr>
        <w:t>. Most importantly all of the results are placed into context by benchmarking with state-of-the-art methods. Applications are presented that simplify synthesis and rapidly enable access to challenging chemical space. Finally, adaptation to multiple scale regimes, ranging from parallel mg-based synthesis to decagram recirculating flow is presented.</w:t>
      </w:r>
    </w:p>
    <w:p w:rsidR="00F85533" w:rsidRDefault="00F85533" w:rsidP="00F85533">
      <w:pPr>
        <w:jc w:val="center"/>
        <w:rPr>
          <w:rFonts w:ascii="Times New Roman" w:hAnsi="Times New Roman" w:cs="Times New Roman"/>
          <w:sz w:val="20"/>
        </w:rPr>
      </w:pPr>
      <w:r w:rsidRPr="00F85533">
        <w:rPr>
          <w:rFonts w:ascii="Times New Roman" w:hAnsi="Times New Roman" w:cs="Times New Roman"/>
          <w:b/>
          <w:sz w:val="20"/>
        </w:rPr>
        <w:object w:dxaOrig="14780" w:dyaOrig="34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01.4pt;height:95.2pt;mso-width-percent:0;mso-height-percent:0;mso-width-percent:0;mso-height-percent:0" o:ole="">
            <v:imagedata r:id="rId7" o:title=""/>
          </v:shape>
          <o:OLEObject Type="Embed" ProgID="Unknown" ShapeID="_x0000_i1025" DrawAspect="Content" ObjectID="_1725186193" r:id="rId8"/>
        </w:object>
      </w:r>
    </w:p>
    <w:p w:rsidR="00F85533" w:rsidRPr="00DC491A" w:rsidRDefault="00F85533" w:rsidP="00F85533">
      <w:pPr>
        <w:jc w:val="center"/>
        <w:rPr>
          <w:rFonts w:ascii="Times New Roman" w:hAnsi="Times New Roman" w:cs="Times New Roman"/>
          <w:b/>
          <w:i/>
          <w:sz w:val="18"/>
        </w:rPr>
      </w:pPr>
      <w:commentRangeStart w:id="1"/>
      <w:proofErr w:type="gramStart"/>
      <w:r w:rsidRPr="00DC491A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DC491A">
        <w:rPr>
          <w:rFonts w:ascii="Times New Roman" w:hAnsi="Times New Roman" w:cs="Times New Roman"/>
          <w:b/>
          <w:i/>
          <w:sz w:val="18"/>
        </w:rPr>
        <w:t xml:space="preserve"> </w:t>
      </w:r>
      <w:commentRangeEnd w:id="1"/>
      <w:r w:rsidR="00B17D11">
        <w:rPr>
          <w:rStyle w:val="CommentReference"/>
        </w:rPr>
        <w:commentReference w:id="1"/>
      </w:r>
    </w:p>
    <w:p w:rsidR="007F4BAF" w:rsidRPr="007F4BAF" w:rsidRDefault="007F4BAF" w:rsidP="007F4BAF">
      <w:pPr>
        <w:rPr>
          <w:rFonts w:ascii="Times New Roman" w:hAnsi="Times New Roman" w:cs="Times New Roman"/>
          <w:b/>
          <w:sz w:val="24"/>
        </w:rPr>
      </w:pPr>
      <w:r w:rsidRPr="007F4BAF">
        <w:rPr>
          <w:rFonts w:ascii="Times New Roman" w:hAnsi="Times New Roman" w:cs="Times New Roman"/>
          <w:b/>
          <w:sz w:val="24"/>
        </w:rPr>
        <w:t>Biography</w:t>
      </w:r>
    </w:p>
    <w:p w:rsidR="00F85533" w:rsidRPr="00F85533" w:rsidRDefault="007F4BAF" w:rsidP="00DC491A">
      <w:pPr>
        <w:jc w:val="both"/>
        <w:rPr>
          <w:rFonts w:ascii="Times New Roman" w:hAnsi="Times New Roman" w:cs="Times New Roman"/>
          <w:b/>
          <w:sz w:val="32"/>
        </w:rPr>
      </w:pPr>
      <w:proofErr w:type="spellStart"/>
      <w:r w:rsidRPr="007F4BAF">
        <w:rPr>
          <w:rFonts w:ascii="Times New Roman" w:hAnsi="Times New Roman" w:cs="Times New Roman"/>
          <w:sz w:val="20"/>
        </w:rPr>
        <w:t>TeYu</w:t>
      </w:r>
      <w:proofErr w:type="spellEnd"/>
      <w:r w:rsidRPr="007F4BAF">
        <w:rPr>
          <w:rFonts w:ascii="Times New Roman" w:hAnsi="Times New Roman" w:cs="Times New Roman"/>
          <w:sz w:val="20"/>
        </w:rPr>
        <w:t xml:space="preserve"> Chen</w:t>
      </w:r>
      <w:r>
        <w:rPr>
          <w:rFonts w:ascii="Times New Roman" w:hAnsi="Times New Roman" w:cs="Times New Roman"/>
          <w:sz w:val="20"/>
        </w:rPr>
        <w:t xml:space="preserve"> a</w:t>
      </w:r>
      <w:r w:rsidRPr="007F4BAF">
        <w:rPr>
          <w:rFonts w:ascii="Times New Roman" w:hAnsi="Times New Roman" w:cs="Times New Roman"/>
          <w:sz w:val="20"/>
        </w:rPr>
        <w:t xml:space="preserve">s a medicinal chemist with experience in Neuroscience, </w:t>
      </w:r>
      <w:r>
        <w:rPr>
          <w:rFonts w:ascii="Times New Roman" w:hAnsi="Times New Roman" w:cs="Times New Roman"/>
          <w:sz w:val="20"/>
        </w:rPr>
        <w:t>He</w:t>
      </w:r>
      <w:r w:rsidRPr="007F4BAF">
        <w:rPr>
          <w:rFonts w:ascii="Times New Roman" w:hAnsi="Times New Roman" w:cs="Times New Roman"/>
          <w:sz w:val="20"/>
        </w:rPr>
        <w:t xml:space="preserve"> focus on using complex organic synthesis to develop and enhance the SAR of various scaffolds with the eventual goal of developing small molecule clinical candidates in the CNS field. </w:t>
      </w:r>
      <w:r>
        <w:rPr>
          <w:rFonts w:ascii="Times New Roman" w:hAnsi="Times New Roman" w:cs="Times New Roman"/>
          <w:sz w:val="20"/>
        </w:rPr>
        <w:t>He</w:t>
      </w:r>
      <w:r w:rsidRPr="007F4BAF">
        <w:rPr>
          <w:rFonts w:ascii="Times New Roman" w:hAnsi="Times New Roman" w:cs="Times New Roman"/>
          <w:sz w:val="20"/>
        </w:rPr>
        <w:t xml:space="preserve"> lead </w:t>
      </w:r>
      <w:proofErr w:type="spellStart"/>
      <w:r w:rsidRPr="007F4BAF">
        <w:rPr>
          <w:rFonts w:ascii="Times New Roman" w:hAnsi="Times New Roman" w:cs="Times New Roman"/>
          <w:sz w:val="20"/>
        </w:rPr>
        <w:t>Biogen</w:t>
      </w:r>
      <w:proofErr w:type="spellEnd"/>
      <w:r w:rsidRPr="007F4BAF">
        <w:rPr>
          <w:rFonts w:ascii="Times New Roman" w:hAnsi="Times New Roman" w:cs="Times New Roman"/>
          <w:sz w:val="20"/>
        </w:rPr>
        <w:t xml:space="preserve"> High throughput Parallel Medicinal Chemi</w:t>
      </w:r>
      <w:r>
        <w:rPr>
          <w:rFonts w:ascii="Times New Roman" w:hAnsi="Times New Roman" w:cs="Times New Roman"/>
          <w:sz w:val="20"/>
        </w:rPr>
        <w:t>stry (PMC) synthesis platform-</w:t>
      </w:r>
      <w:r w:rsidRPr="007F4BAF">
        <w:rPr>
          <w:rFonts w:ascii="Times New Roman" w:hAnsi="Times New Roman" w:cs="Times New Roman"/>
          <w:sz w:val="20"/>
        </w:rPr>
        <w:t xml:space="preserve">support projects teams from Hit ID to Lead Op discovery phase with the design, quick feasibility studies, and fast turn-around of focused matrix libraries. </w:t>
      </w:r>
      <w:r>
        <w:rPr>
          <w:rFonts w:ascii="Times New Roman" w:hAnsi="Times New Roman" w:cs="Times New Roman"/>
          <w:sz w:val="20"/>
        </w:rPr>
        <w:t xml:space="preserve">He </w:t>
      </w:r>
      <w:r w:rsidRPr="007F4BAF">
        <w:rPr>
          <w:rFonts w:ascii="Times New Roman" w:hAnsi="Times New Roman" w:cs="Times New Roman"/>
          <w:sz w:val="20"/>
        </w:rPr>
        <w:t>established internal capabilities to opt</w:t>
      </w:r>
      <w:bookmarkStart w:id="2" w:name="_GoBack"/>
      <w:bookmarkEnd w:id="2"/>
      <w:r w:rsidRPr="007F4BAF">
        <w:rPr>
          <w:rFonts w:ascii="Times New Roman" w:hAnsi="Times New Roman" w:cs="Times New Roman"/>
          <w:sz w:val="20"/>
        </w:rPr>
        <w:t xml:space="preserve">imize standard library-type reaction conditions to support the above PMC efforts. In the meantime, </w:t>
      </w:r>
      <w:r>
        <w:rPr>
          <w:rFonts w:ascii="Times New Roman" w:hAnsi="Times New Roman" w:cs="Times New Roman"/>
          <w:sz w:val="20"/>
        </w:rPr>
        <w:t>He</w:t>
      </w:r>
      <w:r w:rsidRPr="007F4BAF">
        <w:rPr>
          <w:rFonts w:ascii="Times New Roman" w:hAnsi="Times New Roman" w:cs="Times New Roman"/>
          <w:sz w:val="20"/>
        </w:rPr>
        <w:t xml:space="preserve"> closely collaborate</w:t>
      </w:r>
      <w:r>
        <w:rPr>
          <w:rFonts w:ascii="Times New Roman" w:hAnsi="Times New Roman" w:cs="Times New Roman"/>
          <w:sz w:val="20"/>
        </w:rPr>
        <w:t>d</w:t>
      </w:r>
      <w:r w:rsidRPr="007F4BAF">
        <w:rPr>
          <w:rFonts w:ascii="Times New Roman" w:hAnsi="Times New Roman" w:cs="Times New Roman"/>
          <w:sz w:val="20"/>
        </w:rPr>
        <w:t xml:space="preserve"> with project teams and computational chemists to develop PMC enable chemistry for CNS compound design and synthesis and cross-functionally with discovery biologists, quantitative biologists, and DMPK teams to achieve </w:t>
      </w:r>
      <w:r>
        <w:rPr>
          <w:rFonts w:ascii="Times New Roman" w:hAnsi="Times New Roman" w:cs="Times New Roman"/>
          <w:sz w:val="20"/>
        </w:rPr>
        <w:t>their</w:t>
      </w:r>
      <w:r w:rsidRPr="007F4BAF">
        <w:rPr>
          <w:rFonts w:ascii="Times New Roman" w:hAnsi="Times New Roman" w:cs="Times New Roman"/>
          <w:sz w:val="20"/>
        </w:rPr>
        <w:t xml:space="preserve"> goals.</w:t>
      </w:r>
    </w:p>
    <w:sectPr w:rsidR="00F85533" w:rsidRPr="00F855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9-20T13:35:00Z" w:initials="SS">
    <w:p w:rsidR="00B17D11" w:rsidRDefault="00B17D11">
      <w:pPr>
        <w:pStyle w:val="CommentText"/>
      </w:pPr>
      <w:r>
        <w:rPr>
          <w:rStyle w:val="CommentReference"/>
        </w:rPr>
        <w:annotationRef/>
      </w:r>
      <w:r>
        <w:t>Already published. Please find the below links for your reference.</w:t>
      </w:r>
    </w:p>
    <w:p w:rsidR="00B17D11" w:rsidRDefault="00B17D11">
      <w:pPr>
        <w:pStyle w:val="CommentText"/>
      </w:pPr>
    </w:p>
    <w:p w:rsidR="00B17D11" w:rsidRDefault="00B17D11" w:rsidP="00B17D11">
      <w:pPr>
        <w:pStyle w:val="CommentText"/>
        <w:numPr>
          <w:ilvl w:val="0"/>
          <w:numId w:val="1"/>
        </w:numPr>
      </w:pPr>
      <w:hyperlink r:id="rId1" w:history="1">
        <w:r w:rsidRPr="00BC7419">
          <w:rPr>
            <w:rStyle w:val="Hyperlink"/>
          </w:rPr>
          <w:t>https://chemrxiv.org/engage/chemrxiv/article-details/628f0088a42e9cf60c4e8736</w:t>
        </w:r>
      </w:hyperlink>
    </w:p>
    <w:p w:rsidR="00B17D11" w:rsidRDefault="00B17D11" w:rsidP="00B17D11">
      <w:pPr>
        <w:pStyle w:val="CommentText"/>
        <w:numPr>
          <w:ilvl w:val="0"/>
          <w:numId w:val="1"/>
        </w:numPr>
      </w:pPr>
      <w:hyperlink r:id="rId2" w:history="1">
        <w:r w:rsidRPr="00BC7419">
          <w:rPr>
            <w:rStyle w:val="Hyperlink"/>
          </w:rPr>
          <w:t>https://pubmed.ncbi.nlm.nih.gov/36106767/</w:t>
        </w:r>
      </w:hyperlink>
    </w:p>
    <w:p w:rsidR="00B17D11" w:rsidRDefault="00B17D11" w:rsidP="00B17D11">
      <w:pPr>
        <w:pStyle w:val="CommentText"/>
        <w:numPr>
          <w:ilvl w:val="0"/>
          <w:numId w:val="1"/>
        </w:numPr>
      </w:pPr>
      <w:hyperlink r:id="rId3" w:history="1">
        <w:r w:rsidRPr="00BC7419">
          <w:rPr>
            <w:rStyle w:val="Hyperlink"/>
          </w:rPr>
          <w:t>https://pubs.acs.org/doi/10.1021/jacs.2c08006?cookieSet=1#</w:t>
        </w:r>
      </w:hyperlink>
    </w:p>
    <w:p w:rsidR="00B17D11" w:rsidRDefault="00B17D11" w:rsidP="00B17D11">
      <w:pPr>
        <w:pStyle w:val="CommentText"/>
      </w:pPr>
    </w:p>
  </w:comment>
  <w:comment w:id="1" w:author="Swetha Sandala" w:date="2022-09-20T13:37:00Z" w:initials="SS">
    <w:p w:rsidR="00B17D11" w:rsidRDefault="00B17D11">
      <w:pPr>
        <w:pStyle w:val="CommentText"/>
      </w:pPr>
      <w:r>
        <w:rPr>
          <w:rStyle w:val="CommentReference"/>
        </w:rPr>
        <w:annotationRef/>
      </w:r>
      <w:r>
        <w:t>Add figure descriptio</w:t>
      </w:r>
      <w:r w:rsidR="00CB4802">
        <w:t>n and cite in abstract content.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D7257E"/>
    <w:multiLevelType w:val="hybridMultilevel"/>
    <w:tmpl w:val="A9D26E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533"/>
    <w:rsid w:val="0005035B"/>
    <w:rsid w:val="00474203"/>
    <w:rsid w:val="00535872"/>
    <w:rsid w:val="007D133B"/>
    <w:rsid w:val="007F4BAF"/>
    <w:rsid w:val="00924B33"/>
    <w:rsid w:val="00B17D11"/>
    <w:rsid w:val="00CB4802"/>
    <w:rsid w:val="00DC491A"/>
    <w:rsid w:val="00F85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17D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7D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7D1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7D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7D1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7D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7D1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17D1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17D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7D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7D1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7D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7D1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7D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7D1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17D1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comments.xml.rels><?xml version="1.0" encoding="UTF-8" standalone="yes"?>
<Relationships xmlns="http://schemas.openxmlformats.org/package/2006/relationships"><Relationship Id="rId3" Type="http://schemas.openxmlformats.org/officeDocument/2006/relationships/hyperlink" Target="https://pubs.acs.org/doi/10.1021/jacs.2c08006?cookieSet=1#" TargetMode="External"/><Relationship Id="rId2" Type="http://schemas.openxmlformats.org/officeDocument/2006/relationships/hyperlink" Target="https://pubmed.ncbi.nlm.nih.gov/36106767/" TargetMode="External"/><Relationship Id="rId1" Type="http://schemas.openxmlformats.org/officeDocument/2006/relationships/hyperlink" Target="https://chemrxiv.org/engage/chemrxiv/article-details/628f0088a42e9cf60c4e8736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microsoft.com/office/2007/relationships/stylesWithEffects" Target="stylesWithEffect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4</cp:revision>
  <dcterms:created xsi:type="dcterms:W3CDTF">2022-09-20T06:49:00Z</dcterms:created>
  <dcterms:modified xsi:type="dcterms:W3CDTF">2022-09-20T08:07:00Z</dcterms:modified>
</cp:coreProperties>
</file>