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E16" w:rsidRDefault="00004CB9">
      <w:pPr>
        <w:rPr>
          <w:rFonts w:ascii="Times New Roman" w:hAnsi="Times New Roman" w:cs="Times New Roman"/>
          <w:b/>
          <w:sz w:val="32"/>
        </w:rPr>
      </w:pPr>
      <w:r w:rsidRPr="00004CB9">
        <w:rPr>
          <w:rFonts w:ascii="Times New Roman" w:hAnsi="Times New Roman" w:cs="Times New Roman"/>
          <w:b/>
          <w:sz w:val="32"/>
        </w:rPr>
        <w:t>The time-course effect of high-grade inflammation on left ventricular function and morphology in the collagen-induced arthritis model</w:t>
      </w:r>
    </w:p>
    <w:p w:rsidR="00004CB9" w:rsidRDefault="00004CB9">
      <w:pPr>
        <w:rPr>
          <w:rFonts w:ascii="Times New Roman" w:hAnsi="Times New Roman" w:cs="Times New Roman"/>
          <w:sz w:val="24"/>
        </w:rPr>
      </w:pPr>
      <w:proofErr w:type="spellStart"/>
      <w:r w:rsidRPr="00004CB9">
        <w:rPr>
          <w:rFonts w:ascii="Times New Roman" w:hAnsi="Times New Roman" w:cs="Times New Roman"/>
          <w:sz w:val="24"/>
        </w:rPr>
        <w:t>Lebogang</w:t>
      </w:r>
      <w:proofErr w:type="spellEnd"/>
      <w:r w:rsidRPr="00004CB9">
        <w:rPr>
          <w:rFonts w:ascii="Times New Roman" w:hAnsi="Times New Roman" w:cs="Times New Roman"/>
          <w:sz w:val="24"/>
        </w:rPr>
        <w:t xml:space="preserve"> </w:t>
      </w:r>
      <w:proofErr w:type="spellStart"/>
      <w:r w:rsidRPr="00004CB9">
        <w:rPr>
          <w:rFonts w:ascii="Times New Roman" w:hAnsi="Times New Roman" w:cs="Times New Roman"/>
          <w:sz w:val="24"/>
        </w:rPr>
        <w:t>Mokotedi</w:t>
      </w:r>
      <w:proofErr w:type="spellEnd"/>
      <w:r>
        <w:rPr>
          <w:rFonts w:ascii="Times New Roman" w:hAnsi="Times New Roman" w:cs="Times New Roman"/>
          <w:sz w:val="24"/>
        </w:rPr>
        <w:t xml:space="preserve">*, </w:t>
      </w:r>
      <w:proofErr w:type="spellStart"/>
      <w:r w:rsidRPr="00004CB9">
        <w:rPr>
          <w:rFonts w:ascii="Times New Roman" w:hAnsi="Times New Roman" w:cs="Times New Roman"/>
          <w:sz w:val="24"/>
        </w:rPr>
        <w:t>Dimikka</w:t>
      </w:r>
      <w:proofErr w:type="spellEnd"/>
      <w:r w:rsidRPr="00004CB9">
        <w:rPr>
          <w:rFonts w:ascii="Times New Roman" w:hAnsi="Times New Roman" w:cs="Times New Roman"/>
          <w:sz w:val="24"/>
        </w:rPr>
        <w:t xml:space="preserve"> </w:t>
      </w:r>
      <w:proofErr w:type="spellStart"/>
      <w:r w:rsidRPr="00004CB9">
        <w:rPr>
          <w:rFonts w:ascii="Times New Roman" w:hAnsi="Times New Roman" w:cs="Times New Roman"/>
          <w:sz w:val="24"/>
        </w:rPr>
        <w:t>Babulal</w:t>
      </w:r>
      <w:proofErr w:type="spellEnd"/>
      <w:r>
        <w:rPr>
          <w:rFonts w:ascii="Times New Roman" w:hAnsi="Times New Roman" w:cs="Times New Roman"/>
          <w:sz w:val="24"/>
        </w:rPr>
        <w:t xml:space="preserve">, </w:t>
      </w:r>
      <w:r w:rsidRPr="00004CB9">
        <w:rPr>
          <w:rFonts w:ascii="Times New Roman" w:hAnsi="Times New Roman" w:cs="Times New Roman"/>
          <w:sz w:val="24"/>
        </w:rPr>
        <w:t>Gabriella E. Stamp</w:t>
      </w:r>
      <w:r>
        <w:rPr>
          <w:rFonts w:ascii="Times New Roman" w:hAnsi="Times New Roman" w:cs="Times New Roman"/>
          <w:sz w:val="24"/>
        </w:rPr>
        <w:t xml:space="preserve">, </w:t>
      </w:r>
      <w:proofErr w:type="spellStart"/>
      <w:r w:rsidRPr="00004CB9">
        <w:rPr>
          <w:rFonts w:ascii="Times New Roman" w:hAnsi="Times New Roman" w:cs="Times New Roman"/>
          <w:sz w:val="24"/>
        </w:rPr>
        <w:t>Tshimagandzo</w:t>
      </w:r>
      <w:proofErr w:type="spellEnd"/>
      <w:r w:rsidRPr="00004CB9">
        <w:rPr>
          <w:rFonts w:ascii="Times New Roman" w:hAnsi="Times New Roman" w:cs="Times New Roman"/>
          <w:sz w:val="24"/>
        </w:rPr>
        <w:t xml:space="preserve"> </w:t>
      </w:r>
      <w:proofErr w:type="spellStart"/>
      <w:r w:rsidRPr="00004CB9">
        <w:rPr>
          <w:rFonts w:ascii="Times New Roman" w:hAnsi="Times New Roman" w:cs="Times New Roman"/>
          <w:sz w:val="24"/>
        </w:rPr>
        <w:t>Denga</w:t>
      </w:r>
      <w:proofErr w:type="spellEnd"/>
      <w:r>
        <w:rPr>
          <w:rFonts w:ascii="Times New Roman" w:hAnsi="Times New Roman" w:cs="Times New Roman"/>
          <w:sz w:val="24"/>
        </w:rPr>
        <w:t xml:space="preserve"> and </w:t>
      </w:r>
      <w:proofErr w:type="spellStart"/>
      <w:r w:rsidRPr="00004CB9">
        <w:rPr>
          <w:rFonts w:ascii="Times New Roman" w:hAnsi="Times New Roman" w:cs="Times New Roman"/>
          <w:sz w:val="24"/>
        </w:rPr>
        <w:t>Aletta</w:t>
      </w:r>
      <w:proofErr w:type="spellEnd"/>
      <w:r w:rsidRPr="00004CB9">
        <w:rPr>
          <w:rFonts w:ascii="Times New Roman" w:hAnsi="Times New Roman" w:cs="Times New Roman"/>
          <w:sz w:val="24"/>
        </w:rPr>
        <w:t xml:space="preserve"> Millen</w:t>
      </w:r>
    </w:p>
    <w:p w:rsidR="00004CB9" w:rsidRPr="00004CB9" w:rsidRDefault="00004CB9">
      <w:pPr>
        <w:rPr>
          <w:rFonts w:ascii="Times New Roman" w:hAnsi="Times New Roman" w:cs="Times New Roman"/>
        </w:rPr>
      </w:pPr>
      <w:r w:rsidRPr="00004CB9">
        <w:rPr>
          <w:rFonts w:ascii="Times New Roman" w:hAnsi="Times New Roman" w:cs="Times New Roman"/>
        </w:rPr>
        <w:t>University of Witwatersrand, South Africa</w:t>
      </w:r>
    </w:p>
    <w:p w:rsidR="00004CB9" w:rsidRPr="00004CB9" w:rsidRDefault="00004CB9" w:rsidP="00004CB9">
      <w:pPr>
        <w:jc w:val="center"/>
        <w:rPr>
          <w:rFonts w:ascii="Times New Roman" w:hAnsi="Times New Roman" w:cs="Times New Roman"/>
          <w:b/>
          <w:sz w:val="24"/>
        </w:rPr>
      </w:pPr>
      <w:r w:rsidRPr="00004CB9">
        <w:rPr>
          <w:rFonts w:ascii="Times New Roman" w:hAnsi="Times New Roman" w:cs="Times New Roman"/>
          <w:b/>
          <w:sz w:val="24"/>
        </w:rPr>
        <w:t>Abstract</w:t>
      </w:r>
    </w:p>
    <w:p w:rsidR="00004CB9" w:rsidRDefault="00004CB9" w:rsidP="00004CB9">
      <w:pPr>
        <w:jc w:val="both"/>
        <w:rPr>
          <w:rFonts w:ascii="Times New Roman" w:hAnsi="Times New Roman" w:cs="Times New Roman"/>
          <w:sz w:val="20"/>
        </w:rPr>
      </w:pPr>
      <w:r w:rsidRPr="00004CB9">
        <w:rPr>
          <w:rFonts w:ascii="Times New Roman" w:hAnsi="Times New Roman" w:cs="Times New Roman"/>
          <w:b/>
          <w:sz w:val="20"/>
        </w:rPr>
        <w:t>Statement of the problem:</w:t>
      </w:r>
      <w:r w:rsidRPr="00004CB9">
        <w:rPr>
          <w:rFonts w:ascii="Times New Roman" w:hAnsi="Times New Roman" w:cs="Times New Roman"/>
          <w:sz w:val="20"/>
        </w:rPr>
        <w:t xml:space="preserve"> High-grade inflammation plays a key role in the pathogenesis of heart failure in patients with long-standing Rheumatoid Arthritis (RA). However, the time-course effect of inflammation on Left Ventricular (LV) function and morphology in experimental models of RA is unknown. This study aimed to determine the time-course effects of high-grade inflammation on LV function and morphology in Collagen-Induced Arthritis (CIA). </w:t>
      </w:r>
    </w:p>
    <w:p w:rsidR="00004CB9" w:rsidRDefault="00004CB9" w:rsidP="00004CB9">
      <w:pPr>
        <w:jc w:val="both"/>
        <w:rPr>
          <w:rFonts w:ascii="Times New Roman" w:hAnsi="Times New Roman" w:cs="Times New Roman"/>
          <w:sz w:val="20"/>
        </w:rPr>
      </w:pPr>
      <w:r w:rsidRPr="00004CB9">
        <w:rPr>
          <w:rFonts w:ascii="Times New Roman" w:hAnsi="Times New Roman" w:cs="Times New Roman"/>
          <w:b/>
          <w:sz w:val="20"/>
        </w:rPr>
        <w:t>Methodology &amp; theoretical orientation:</w:t>
      </w:r>
      <w:r w:rsidRPr="00004CB9">
        <w:rPr>
          <w:rFonts w:ascii="Times New Roman" w:hAnsi="Times New Roman" w:cs="Times New Roman"/>
          <w:sz w:val="20"/>
        </w:rPr>
        <w:t xml:space="preserve"> Thirty-nine, Sprague </w:t>
      </w:r>
      <w:proofErr w:type="spellStart"/>
      <w:r w:rsidRPr="00004CB9">
        <w:rPr>
          <w:rFonts w:ascii="Times New Roman" w:hAnsi="Times New Roman" w:cs="Times New Roman"/>
          <w:sz w:val="20"/>
        </w:rPr>
        <w:t>Dawley</w:t>
      </w:r>
      <w:proofErr w:type="spellEnd"/>
      <w:r w:rsidRPr="00004CB9">
        <w:rPr>
          <w:rFonts w:ascii="Times New Roman" w:hAnsi="Times New Roman" w:cs="Times New Roman"/>
          <w:sz w:val="20"/>
        </w:rPr>
        <w:t xml:space="preserve"> rats were divided into the control group (n=18) and CIA group (n=21). Rats in the CIA group received subcutaneous injections of bovine type-II collagen emulsified in incomplete Freund's adjuvant. Echocardiographic measures were assessed at week 3, week 6 and week 9 after CIA induction. At termination, circulating inflammatory markers were measured and the collagen content in the LV was determined by </w:t>
      </w:r>
      <w:proofErr w:type="spellStart"/>
      <w:r w:rsidRPr="00004CB9">
        <w:rPr>
          <w:rFonts w:ascii="Times New Roman" w:hAnsi="Times New Roman" w:cs="Times New Roman"/>
          <w:sz w:val="20"/>
        </w:rPr>
        <w:t>picro-sirius</w:t>
      </w:r>
      <w:proofErr w:type="spellEnd"/>
      <w:r w:rsidRPr="00004CB9">
        <w:rPr>
          <w:rFonts w:ascii="Times New Roman" w:hAnsi="Times New Roman" w:cs="Times New Roman"/>
          <w:sz w:val="20"/>
        </w:rPr>
        <w:t xml:space="preserve"> red staining. </w:t>
      </w:r>
    </w:p>
    <w:p w:rsidR="00004CB9" w:rsidRDefault="00004CB9" w:rsidP="00004CB9">
      <w:pPr>
        <w:jc w:val="both"/>
        <w:rPr>
          <w:rFonts w:ascii="Times New Roman" w:hAnsi="Times New Roman" w:cs="Times New Roman"/>
          <w:sz w:val="20"/>
        </w:rPr>
      </w:pPr>
      <w:r w:rsidRPr="00004CB9">
        <w:rPr>
          <w:rFonts w:ascii="Times New Roman" w:hAnsi="Times New Roman" w:cs="Times New Roman"/>
          <w:b/>
          <w:sz w:val="20"/>
        </w:rPr>
        <w:t xml:space="preserve">Findings: </w:t>
      </w:r>
      <w:r w:rsidRPr="00004CB9">
        <w:rPr>
          <w:rFonts w:ascii="Times New Roman" w:hAnsi="Times New Roman" w:cs="Times New Roman"/>
          <w:sz w:val="20"/>
        </w:rPr>
        <w:t>Compared to controls at week 9, CIA rats had increased Tumor Necrosis Factor α (TNF-α) and C-reactive protein (CRP) (p&lt;0.05). Compared to controls at week 9, CIA rats had reduced myocardial relaxation (e’ and E/A) and increased filling pressures (E/e’) (p&lt;0.05). The collagen area fraction in the CIA group was significantly higher than the control group at week 9 (p=0.001).</w:t>
      </w:r>
      <w:r w:rsidR="00B158B9">
        <w:rPr>
          <w:rFonts w:ascii="Times New Roman" w:hAnsi="Times New Roman" w:cs="Times New Roman"/>
          <w:sz w:val="20"/>
        </w:rPr>
        <w:t xml:space="preserve"> </w:t>
      </w:r>
      <w:r w:rsidRPr="00004CB9">
        <w:rPr>
          <w:rFonts w:ascii="Times New Roman" w:hAnsi="Times New Roman" w:cs="Times New Roman"/>
          <w:sz w:val="20"/>
        </w:rPr>
        <w:t xml:space="preserve">Increased TNF-α and CRP were associated with reduced e’ </w:t>
      </w:r>
      <w:r>
        <w:rPr>
          <w:rFonts w:ascii="Times New Roman" w:hAnsi="Times New Roman" w:cs="Times New Roman"/>
          <w:sz w:val="20"/>
        </w:rPr>
        <w:t>(p=0.02; r=-0.84 and p=0.02; r=-0.71</w:t>
      </w:r>
      <w:r w:rsidRPr="00004CB9">
        <w:rPr>
          <w:rFonts w:ascii="Times New Roman" w:hAnsi="Times New Roman" w:cs="Times New Roman"/>
          <w:sz w:val="20"/>
        </w:rPr>
        <w:t xml:space="preserve"> respectively) and increased CRP was asso</w:t>
      </w:r>
      <w:r>
        <w:rPr>
          <w:rFonts w:ascii="Times New Roman" w:hAnsi="Times New Roman" w:cs="Times New Roman"/>
          <w:sz w:val="20"/>
        </w:rPr>
        <w:t>ciated with increased E/e’ (p=0.01; r=0.</w:t>
      </w:r>
      <w:r w:rsidRPr="00004CB9">
        <w:rPr>
          <w:rFonts w:ascii="Times New Roman" w:hAnsi="Times New Roman" w:cs="Times New Roman"/>
          <w:sz w:val="20"/>
        </w:rPr>
        <w:t xml:space="preserve">77) at week 9. Increased TNF-α and CRP were associated with increased collagen area (p=0.03; r=0.74 and p=0.02; r=0.81 respectively). </w:t>
      </w:r>
    </w:p>
    <w:p w:rsidR="00004CB9" w:rsidRDefault="00004CB9" w:rsidP="00004CB9">
      <w:pPr>
        <w:jc w:val="both"/>
        <w:rPr>
          <w:rFonts w:ascii="Times New Roman" w:hAnsi="Times New Roman" w:cs="Times New Roman"/>
          <w:sz w:val="20"/>
        </w:rPr>
      </w:pPr>
      <w:r w:rsidRPr="00004CB9">
        <w:rPr>
          <w:rFonts w:ascii="Times New Roman" w:hAnsi="Times New Roman" w:cs="Times New Roman"/>
          <w:b/>
          <w:sz w:val="20"/>
        </w:rPr>
        <w:t>Conclusion:</w:t>
      </w:r>
      <w:r w:rsidRPr="00004CB9">
        <w:rPr>
          <w:rFonts w:ascii="Times New Roman" w:hAnsi="Times New Roman" w:cs="Times New Roman"/>
          <w:sz w:val="20"/>
        </w:rPr>
        <w:t xml:space="preserve"> High-grade inflammation causes diastolic dysfunction in the late stages of arthritis without any changes in CIA rats. In addition, myocardial fibrosis worsens with an increased duration of exposure to inflammation.</w:t>
      </w:r>
    </w:p>
    <w:p w:rsidR="00004CB9" w:rsidRPr="00004CB9" w:rsidRDefault="00004CB9" w:rsidP="00004CB9">
      <w:pPr>
        <w:rPr>
          <w:rFonts w:ascii="Times New Roman" w:hAnsi="Times New Roman" w:cs="Times New Roman"/>
          <w:b/>
          <w:sz w:val="24"/>
        </w:rPr>
      </w:pPr>
      <w:r w:rsidRPr="00004CB9">
        <w:rPr>
          <w:rFonts w:ascii="Times New Roman" w:hAnsi="Times New Roman" w:cs="Times New Roman"/>
          <w:b/>
          <w:sz w:val="24"/>
        </w:rPr>
        <w:t>Biography</w:t>
      </w:r>
    </w:p>
    <w:p w:rsidR="00004CB9" w:rsidRPr="00004CB9" w:rsidRDefault="00004CB9" w:rsidP="00004CB9">
      <w:pPr>
        <w:jc w:val="both"/>
        <w:rPr>
          <w:rFonts w:ascii="Times New Roman" w:hAnsi="Times New Roman" w:cs="Times New Roman"/>
          <w:sz w:val="20"/>
        </w:rPr>
      </w:pPr>
      <w:r w:rsidRPr="00004CB9">
        <w:rPr>
          <w:rFonts w:ascii="Times New Roman" w:hAnsi="Times New Roman" w:cs="Times New Roman"/>
          <w:sz w:val="20"/>
        </w:rPr>
        <w:t>Dr</w:t>
      </w:r>
      <w:r>
        <w:rPr>
          <w:rFonts w:ascii="Times New Roman" w:hAnsi="Times New Roman" w:cs="Times New Roman"/>
          <w:sz w:val="20"/>
        </w:rPr>
        <w:t>.</w:t>
      </w:r>
      <w:r w:rsidRPr="00004CB9">
        <w:rPr>
          <w:rFonts w:ascii="Times New Roman" w:hAnsi="Times New Roman" w:cs="Times New Roman"/>
          <w:sz w:val="20"/>
        </w:rPr>
        <w:t xml:space="preserve"> </w:t>
      </w:r>
      <w:proofErr w:type="spellStart"/>
      <w:r w:rsidRPr="00004CB9">
        <w:rPr>
          <w:rFonts w:ascii="Times New Roman" w:hAnsi="Times New Roman" w:cs="Times New Roman"/>
          <w:sz w:val="20"/>
        </w:rPr>
        <w:t>Lebogang</w:t>
      </w:r>
      <w:proofErr w:type="spellEnd"/>
      <w:r w:rsidRPr="00004CB9">
        <w:rPr>
          <w:rFonts w:ascii="Times New Roman" w:hAnsi="Times New Roman" w:cs="Times New Roman"/>
          <w:sz w:val="20"/>
        </w:rPr>
        <w:t xml:space="preserve"> </w:t>
      </w:r>
      <w:proofErr w:type="spellStart"/>
      <w:r w:rsidRPr="00004CB9">
        <w:rPr>
          <w:rFonts w:ascii="Times New Roman" w:hAnsi="Times New Roman" w:cs="Times New Roman"/>
          <w:sz w:val="20"/>
        </w:rPr>
        <w:t>Mokotedi</w:t>
      </w:r>
      <w:proofErr w:type="spellEnd"/>
      <w:r w:rsidRPr="00004CB9">
        <w:rPr>
          <w:rFonts w:ascii="Times New Roman" w:hAnsi="Times New Roman" w:cs="Times New Roman"/>
          <w:sz w:val="20"/>
        </w:rPr>
        <w:t xml:space="preserve"> is a member of the Cardiovascular Pathophysiology and Genomics Research Unit (CPGRU) which carries out research over wide areas, each designed to increase the understanding of the mechanisms of cardiovascular disease, and the roles of various lifestyle factors in either the development or prevention of hypertension and cardiovascular disease. Within the CPGRU, Dr</w:t>
      </w:r>
      <w:r>
        <w:rPr>
          <w:rFonts w:ascii="Times New Roman" w:hAnsi="Times New Roman" w:cs="Times New Roman"/>
          <w:sz w:val="20"/>
        </w:rPr>
        <w:t>.</w:t>
      </w:r>
      <w:r w:rsidRPr="00004CB9">
        <w:rPr>
          <w:rFonts w:ascii="Times New Roman" w:hAnsi="Times New Roman" w:cs="Times New Roman"/>
          <w:sz w:val="20"/>
        </w:rPr>
        <w:t xml:space="preserve"> </w:t>
      </w:r>
      <w:proofErr w:type="spellStart"/>
      <w:r w:rsidRPr="00004CB9">
        <w:rPr>
          <w:rFonts w:ascii="Times New Roman" w:hAnsi="Times New Roman" w:cs="Times New Roman"/>
          <w:sz w:val="20"/>
        </w:rPr>
        <w:t>Mokotedi’s</w:t>
      </w:r>
      <w:proofErr w:type="spellEnd"/>
      <w:r w:rsidRPr="00004CB9">
        <w:rPr>
          <w:rFonts w:ascii="Times New Roman" w:hAnsi="Times New Roman" w:cs="Times New Roman"/>
          <w:sz w:val="20"/>
        </w:rPr>
        <w:t xml:space="preserve"> research focuses on the role of chronic inflammation on cardiac and vascular function in rheumatoid arthritis patients and a rodent model of arthritis. She is also involved in projects looking at modifiable metabolic, cardiovascular, and lifestyle markers that contribute to cardiovascular disease in different ethnic group</w:t>
      </w:r>
      <w:bookmarkStart w:id="0" w:name="_GoBack"/>
      <w:bookmarkEnd w:id="0"/>
      <w:r w:rsidRPr="00004CB9">
        <w:rPr>
          <w:rFonts w:ascii="Times New Roman" w:hAnsi="Times New Roman" w:cs="Times New Roman"/>
          <w:sz w:val="20"/>
        </w:rPr>
        <w:t>s and experimental models.</w:t>
      </w:r>
    </w:p>
    <w:sectPr w:rsidR="00004CB9" w:rsidRPr="00004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CB9"/>
    <w:rsid w:val="00004CB9"/>
    <w:rsid w:val="00982E16"/>
    <w:rsid w:val="00B15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433</Words>
  <Characters>2474</Characters>
  <Application>Microsoft Office Word</Application>
  <DocSecurity>0</DocSecurity>
  <Lines>20</Lines>
  <Paragraphs>5</Paragraphs>
  <ScaleCrop>false</ScaleCrop>
  <Company/>
  <LinksUpToDate>false</LinksUpToDate>
  <CharactersWithSpaces>2902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2022-06-13T08:58:00Z</dcterms:created>
  <dcterms:modified xsi:type="dcterms:W3CDTF">2022-06-13T09:04:00Z</dcterms:modified>
</cp:coreProperties>
</file>