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F46" w:rsidRPr="0028356D" w:rsidRDefault="000E6E55" w:rsidP="0028356D">
      <w:pPr>
        <w:rPr>
          <w:rFonts w:ascii="Times New Roman" w:hAnsi="Times New Roman" w:cs="Times New Roman"/>
          <w:b/>
          <w:sz w:val="32"/>
          <w:szCs w:val="24"/>
        </w:rPr>
      </w:pPr>
      <w:r w:rsidRPr="0028356D">
        <w:rPr>
          <w:rFonts w:ascii="Times New Roman" w:hAnsi="Times New Roman" w:cs="Times New Roman"/>
          <w:b/>
          <w:sz w:val="32"/>
          <w:szCs w:val="24"/>
        </w:rPr>
        <w:t xml:space="preserve">Integrated E-waste </w:t>
      </w:r>
      <w:r w:rsidR="0028356D" w:rsidRPr="0028356D">
        <w:rPr>
          <w:rFonts w:ascii="Times New Roman" w:hAnsi="Times New Roman" w:cs="Times New Roman"/>
          <w:b/>
          <w:sz w:val="32"/>
          <w:szCs w:val="24"/>
        </w:rPr>
        <w:t xml:space="preserve">management adaptation </w:t>
      </w:r>
      <w:r w:rsidRPr="0028356D">
        <w:rPr>
          <w:rFonts w:ascii="Times New Roman" w:hAnsi="Times New Roman" w:cs="Times New Roman"/>
          <w:b/>
          <w:sz w:val="32"/>
          <w:szCs w:val="24"/>
        </w:rPr>
        <w:t xml:space="preserve">by LCA and </w:t>
      </w:r>
      <w:r w:rsidR="0028356D" w:rsidRPr="0028356D">
        <w:rPr>
          <w:rFonts w:ascii="Times New Roman" w:hAnsi="Times New Roman" w:cs="Times New Roman"/>
          <w:b/>
          <w:sz w:val="32"/>
          <w:szCs w:val="24"/>
        </w:rPr>
        <w:t>system dynamics model approach</w:t>
      </w:r>
      <w:r w:rsidRPr="0028356D">
        <w:rPr>
          <w:rFonts w:ascii="Times New Roman" w:hAnsi="Times New Roman" w:cs="Times New Roman"/>
          <w:b/>
          <w:sz w:val="32"/>
          <w:szCs w:val="24"/>
        </w:rPr>
        <w:t xml:space="preserve">: Case </w:t>
      </w:r>
      <w:r w:rsidR="0028356D" w:rsidRPr="0028356D">
        <w:rPr>
          <w:rFonts w:ascii="Times New Roman" w:hAnsi="Times New Roman" w:cs="Times New Roman"/>
          <w:b/>
          <w:sz w:val="32"/>
          <w:szCs w:val="24"/>
        </w:rPr>
        <w:t xml:space="preserve">study </w:t>
      </w:r>
      <w:r w:rsidRPr="0028356D">
        <w:rPr>
          <w:rFonts w:ascii="Times New Roman" w:hAnsi="Times New Roman" w:cs="Times New Roman"/>
          <w:b/>
          <w:sz w:val="32"/>
          <w:szCs w:val="24"/>
        </w:rPr>
        <w:t xml:space="preserve">of </w:t>
      </w:r>
      <w:r w:rsidR="0028356D" w:rsidRPr="0028356D">
        <w:rPr>
          <w:rFonts w:ascii="Times New Roman" w:hAnsi="Times New Roman" w:cs="Times New Roman"/>
          <w:b/>
          <w:sz w:val="32"/>
          <w:szCs w:val="24"/>
        </w:rPr>
        <w:t>Yaoundé</w:t>
      </w:r>
      <w:r w:rsidRPr="0028356D">
        <w:rPr>
          <w:rFonts w:ascii="Times New Roman" w:hAnsi="Times New Roman" w:cs="Times New Roman"/>
          <w:b/>
          <w:sz w:val="32"/>
          <w:szCs w:val="24"/>
        </w:rPr>
        <w:t>, Cameroon</w:t>
      </w:r>
    </w:p>
    <w:p w:rsidR="000E6E55" w:rsidRPr="0028356D" w:rsidRDefault="0028356D" w:rsidP="0028356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Esopere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Yannick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Esopere</w:t>
      </w:r>
      <w:proofErr w:type="spellEnd"/>
    </w:p>
    <w:p w:rsidR="000E6E55" w:rsidRPr="0028356D" w:rsidRDefault="000E6E55" w:rsidP="0028356D">
      <w:pPr>
        <w:rPr>
          <w:rFonts w:ascii="Times New Roman" w:hAnsi="Times New Roman" w:cs="Times New Roman"/>
          <w:szCs w:val="24"/>
        </w:rPr>
      </w:pPr>
      <w:r w:rsidRPr="0028356D">
        <w:rPr>
          <w:rFonts w:ascii="Times New Roman" w:hAnsi="Times New Roman" w:cs="Times New Roman"/>
          <w:szCs w:val="24"/>
        </w:rPr>
        <w:t>University of Tsukuba, Japan</w:t>
      </w:r>
      <w:r w:rsidR="00F74850" w:rsidRPr="0028356D">
        <w:rPr>
          <w:rFonts w:ascii="Times New Roman" w:hAnsi="Times New Roman" w:cs="Times New Roman"/>
          <w:szCs w:val="24"/>
        </w:rPr>
        <w:t xml:space="preserve"> </w:t>
      </w:r>
    </w:p>
    <w:p w:rsidR="005B6FC6" w:rsidRPr="0028356D" w:rsidRDefault="005B6FC6" w:rsidP="0028356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356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5B6FC6" w:rsidRPr="0028356D" w:rsidRDefault="005B6FC6" w:rsidP="0028356D">
      <w:pPr>
        <w:jc w:val="both"/>
        <w:rPr>
          <w:rFonts w:ascii="Times New Roman" w:hAnsi="Times New Roman" w:cs="Times New Roman"/>
          <w:sz w:val="20"/>
          <w:szCs w:val="24"/>
        </w:rPr>
      </w:pPr>
      <w:r w:rsidRPr="0028356D">
        <w:rPr>
          <w:rFonts w:ascii="Times New Roman" w:hAnsi="Times New Roman" w:cs="Times New Roman"/>
          <w:sz w:val="20"/>
          <w:szCs w:val="24"/>
        </w:rPr>
        <w:t xml:space="preserve">Residual components of electronic and electrical devices are technically classified as </w:t>
      </w:r>
      <w:r w:rsidR="0028356D" w:rsidRPr="0028356D">
        <w:rPr>
          <w:rFonts w:ascii="Times New Roman" w:hAnsi="Times New Roman" w:cs="Times New Roman"/>
          <w:sz w:val="20"/>
          <w:szCs w:val="24"/>
        </w:rPr>
        <w:t xml:space="preserve">Waste Electrical </w:t>
      </w:r>
      <w:r w:rsidRPr="0028356D">
        <w:rPr>
          <w:rFonts w:ascii="Times New Roman" w:hAnsi="Times New Roman" w:cs="Times New Roman"/>
          <w:sz w:val="20"/>
          <w:szCs w:val="24"/>
        </w:rPr>
        <w:t xml:space="preserve">and </w:t>
      </w:r>
      <w:r w:rsidR="0028356D" w:rsidRPr="0028356D">
        <w:rPr>
          <w:rFonts w:ascii="Times New Roman" w:hAnsi="Times New Roman" w:cs="Times New Roman"/>
          <w:sz w:val="20"/>
          <w:szCs w:val="24"/>
        </w:rPr>
        <w:t xml:space="preserve">Electronic Equipment </w:t>
      </w:r>
      <w:r w:rsidRPr="0028356D">
        <w:rPr>
          <w:rFonts w:ascii="Times New Roman" w:hAnsi="Times New Roman" w:cs="Times New Roman"/>
          <w:sz w:val="20"/>
          <w:szCs w:val="24"/>
        </w:rPr>
        <w:t>(WEEE). Commonly known as E-waste, they are among the fastest-growing waste streams globally. E-waste has become a major global environment</w:t>
      </w:r>
      <w:bookmarkStart w:id="0" w:name="_GoBack"/>
      <w:bookmarkEnd w:id="0"/>
      <w:r w:rsidRPr="0028356D">
        <w:rPr>
          <w:rFonts w:ascii="Times New Roman" w:hAnsi="Times New Roman" w:cs="Times New Roman"/>
          <w:sz w:val="20"/>
          <w:szCs w:val="24"/>
        </w:rPr>
        <w:t xml:space="preserve">al issue. In developing countries, it is crucial to implement sustainable end-of-life treatment policies and suitable infrastructure to prevent and mitigate imminent environmental and human health impacts from e-waste treatment and disposal. This study proposes an integrated E-waste management scheme with policy incentives to enhance formal E-waste collection and recycling in Yaoundé. Firstly, the study investigates Cameroon’s current E-waste management system, identifying key processes of environmental and human health impacts in the E-waste treatment processes. Key impact-contributing processes were identified as high-impact processes within the study scope. Secondly, the study evaluates the policy efficiency of a proposed integrated E-waste management scheme. A </w:t>
      </w:r>
      <w:r w:rsidR="0028356D" w:rsidRPr="0028356D">
        <w:rPr>
          <w:rFonts w:ascii="Times New Roman" w:hAnsi="Times New Roman" w:cs="Times New Roman"/>
          <w:sz w:val="20"/>
          <w:szCs w:val="24"/>
        </w:rPr>
        <w:t xml:space="preserve">Life Cycle Assessment </w:t>
      </w:r>
      <w:r w:rsidRPr="0028356D">
        <w:rPr>
          <w:rFonts w:ascii="Times New Roman" w:hAnsi="Times New Roman" w:cs="Times New Roman"/>
          <w:sz w:val="20"/>
          <w:szCs w:val="24"/>
        </w:rPr>
        <w:t>(LCA) identified the high-impact processes in the E-waste treatment processes. Additionally, a policy efficiency simulation by System Dynamics Model (SDM) examined the proposed policy’s economic and environmental viability. The LCA results identified 14 high-impact processes from the current E-waste treatment system. Meanwhile, only 5 high-impact processes were identified for the proposed E-waste management scheme. Policy 1 with levies on producers/importers was more efficient in improving the processing fund and reducing informal recycling within the proposed integrated E-waste management scheme. The study outcome will provide Cameroonian decision-makers with information in implementing initiatives to formalize infor</w:t>
      </w:r>
      <w:r w:rsidR="0028356D">
        <w:rPr>
          <w:rFonts w:ascii="Times New Roman" w:hAnsi="Times New Roman" w:cs="Times New Roman"/>
          <w:sz w:val="20"/>
          <w:szCs w:val="24"/>
        </w:rPr>
        <w:t>mal E-waste recycling,</w:t>
      </w:r>
      <w:r w:rsidRPr="0028356D">
        <w:rPr>
          <w:rFonts w:ascii="Times New Roman" w:hAnsi="Times New Roman" w:cs="Times New Roman"/>
          <w:sz w:val="20"/>
          <w:szCs w:val="24"/>
        </w:rPr>
        <w:t xml:space="preserve"> </w:t>
      </w:r>
      <w:r w:rsidR="0028356D" w:rsidRPr="0028356D">
        <w:rPr>
          <w:rFonts w:ascii="Times New Roman" w:hAnsi="Times New Roman" w:cs="Times New Roman"/>
          <w:sz w:val="20"/>
          <w:szCs w:val="24"/>
        </w:rPr>
        <w:t>thus</w:t>
      </w:r>
      <w:r w:rsidRPr="0028356D">
        <w:rPr>
          <w:rFonts w:ascii="Times New Roman" w:hAnsi="Times New Roman" w:cs="Times New Roman"/>
          <w:sz w:val="20"/>
          <w:szCs w:val="24"/>
        </w:rPr>
        <w:t>, reducing environmental and human health impacts from the current E-waste treatment practices.</w:t>
      </w:r>
    </w:p>
    <w:p w:rsidR="005B6FC6" w:rsidRPr="0028356D" w:rsidRDefault="005B6FC6" w:rsidP="0028356D">
      <w:pPr>
        <w:rPr>
          <w:rFonts w:ascii="Times New Roman" w:hAnsi="Times New Roman" w:cs="Times New Roman"/>
          <w:b/>
          <w:sz w:val="24"/>
          <w:szCs w:val="24"/>
        </w:rPr>
      </w:pPr>
      <w:r w:rsidRPr="0028356D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5B6FC6" w:rsidRPr="0028356D" w:rsidRDefault="005B6FC6" w:rsidP="0028356D">
      <w:pPr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28356D">
        <w:rPr>
          <w:rFonts w:ascii="Times New Roman" w:hAnsi="Times New Roman" w:cs="Times New Roman"/>
          <w:sz w:val="20"/>
          <w:szCs w:val="24"/>
        </w:rPr>
        <w:t>Esopere</w:t>
      </w:r>
      <w:proofErr w:type="spellEnd"/>
      <w:r w:rsidRPr="0028356D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28356D">
        <w:rPr>
          <w:rFonts w:ascii="Times New Roman" w:hAnsi="Times New Roman" w:cs="Times New Roman"/>
          <w:sz w:val="20"/>
          <w:szCs w:val="24"/>
        </w:rPr>
        <w:t>Yannick</w:t>
      </w:r>
      <w:proofErr w:type="spellEnd"/>
      <w:r w:rsidRPr="0028356D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28356D">
        <w:rPr>
          <w:rFonts w:ascii="Times New Roman" w:hAnsi="Times New Roman" w:cs="Times New Roman"/>
          <w:sz w:val="20"/>
          <w:szCs w:val="24"/>
        </w:rPr>
        <w:t>Esopere</w:t>
      </w:r>
      <w:proofErr w:type="spellEnd"/>
      <w:r w:rsidRPr="0028356D">
        <w:rPr>
          <w:rFonts w:ascii="Times New Roman" w:hAnsi="Times New Roman" w:cs="Times New Roman"/>
          <w:sz w:val="20"/>
          <w:szCs w:val="24"/>
        </w:rPr>
        <w:t xml:space="preserve"> is currently a doctoral student in Environmental Studies at the Faculty of Science and Technology at the University of Tsukuba. He has </w:t>
      </w:r>
      <w:r w:rsidR="0028356D" w:rsidRPr="0028356D">
        <w:rPr>
          <w:rFonts w:ascii="Times New Roman" w:hAnsi="Times New Roman" w:cs="Times New Roman"/>
          <w:sz w:val="20"/>
          <w:szCs w:val="24"/>
        </w:rPr>
        <w:t>a</w:t>
      </w:r>
      <w:r w:rsidRPr="0028356D">
        <w:rPr>
          <w:rFonts w:ascii="Times New Roman" w:hAnsi="Times New Roman" w:cs="Times New Roman"/>
          <w:sz w:val="20"/>
          <w:szCs w:val="24"/>
        </w:rPr>
        <w:t xml:space="preserve"> MSc. degree in Environmental Sciences and holds a Professional Master’s degree in Industrial and Environmental Risk Management and a Professional Bachelor’s degree in Risk and Environmental Management. His professional experience encompasses internships at ENEO Camer</w:t>
      </w:r>
      <w:r w:rsidR="0028356D">
        <w:rPr>
          <w:rFonts w:ascii="Times New Roman" w:hAnsi="Times New Roman" w:cs="Times New Roman"/>
          <w:sz w:val="20"/>
          <w:szCs w:val="24"/>
        </w:rPr>
        <w:t>oon, Global Water Partnership–</w:t>
      </w:r>
      <w:r w:rsidRPr="0028356D">
        <w:rPr>
          <w:rFonts w:ascii="Times New Roman" w:hAnsi="Times New Roman" w:cs="Times New Roman"/>
          <w:sz w:val="20"/>
          <w:szCs w:val="24"/>
        </w:rPr>
        <w:t xml:space="preserve">Central Africa, and the Ministry of Mines, Industry, and Technological Development, where he contributed to various environmental management activities. He also worked in environmental consultancy as a field engineer at Irina </w:t>
      </w:r>
      <w:r w:rsidR="0028356D" w:rsidRPr="0028356D">
        <w:rPr>
          <w:rFonts w:ascii="Times New Roman" w:hAnsi="Times New Roman" w:cs="Times New Roman"/>
          <w:sz w:val="20"/>
          <w:szCs w:val="24"/>
        </w:rPr>
        <w:t>Environment</w:t>
      </w:r>
      <w:r w:rsidRPr="0028356D">
        <w:rPr>
          <w:rFonts w:ascii="Times New Roman" w:hAnsi="Times New Roman" w:cs="Times New Roman"/>
          <w:sz w:val="20"/>
          <w:szCs w:val="24"/>
        </w:rPr>
        <w:t>.</w:t>
      </w:r>
    </w:p>
    <w:sectPr w:rsidR="005B6FC6" w:rsidRPr="002835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E55"/>
    <w:rsid w:val="000E6E55"/>
    <w:rsid w:val="0028356D"/>
    <w:rsid w:val="005B6FC6"/>
    <w:rsid w:val="00620F46"/>
    <w:rsid w:val="00DF2C5B"/>
    <w:rsid w:val="00F7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6FC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6F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2</cp:revision>
  <dcterms:created xsi:type="dcterms:W3CDTF">2022-10-11T03:36:00Z</dcterms:created>
  <dcterms:modified xsi:type="dcterms:W3CDTF">2022-10-11T05:58:00Z</dcterms:modified>
</cp:coreProperties>
</file>