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E3E" w:rsidRPr="00247AC6" w:rsidRDefault="00E10E3E" w:rsidP="00247AC6">
      <w:pPr>
        <w:rPr>
          <w:rFonts w:ascii="Times New Roman" w:hAnsi="Times New Roman" w:cs="Times New Roman"/>
          <w:b/>
          <w:sz w:val="32"/>
          <w:szCs w:val="24"/>
        </w:rPr>
      </w:pPr>
      <w:r w:rsidRPr="00247AC6">
        <w:rPr>
          <w:rFonts w:ascii="Times New Roman" w:hAnsi="Times New Roman" w:cs="Times New Roman"/>
          <w:b/>
          <w:sz w:val="32"/>
          <w:szCs w:val="24"/>
        </w:rPr>
        <w:t>Women</w:t>
      </w:r>
      <w:r w:rsidR="00247AC6" w:rsidRPr="00247AC6">
        <w:rPr>
          <w:rFonts w:ascii="Times New Roman" w:hAnsi="Times New Roman" w:cs="Times New Roman"/>
          <w:b/>
          <w:sz w:val="32"/>
          <w:szCs w:val="24"/>
        </w:rPr>
        <w:t>, forty years on inverse gas chromatography: New methods and models for the characterization of surfaces and interfaces of materials</w:t>
      </w:r>
    </w:p>
    <w:p w:rsidR="00247AC6" w:rsidRPr="00247AC6" w:rsidRDefault="00E10E3E" w:rsidP="00247AC6">
      <w:pPr>
        <w:rPr>
          <w:rFonts w:ascii="Times New Roman" w:hAnsi="Times New Roman" w:cs="Times New Roman"/>
          <w:sz w:val="24"/>
          <w:szCs w:val="24"/>
        </w:rPr>
      </w:pPr>
      <w:proofErr w:type="spellStart"/>
      <w:r w:rsidRPr="00247AC6">
        <w:rPr>
          <w:rFonts w:ascii="Times New Roman" w:hAnsi="Times New Roman" w:cs="Times New Roman"/>
          <w:sz w:val="24"/>
          <w:szCs w:val="24"/>
        </w:rPr>
        <w:t>Tayssir</w:t>
      </w:r>
      <w:proofErr w:type="spellEnd"/>
      <w:r w:rsidRPr="00247AC6">
        <w:rPr>
          <w:rFonts w:ascii="Times New Roman" w:hAnsi="Times New Roman" w:cs="Times New Roman"/>
          <w:sz w:val="24"/>
          <w:szCs w:val="24"/>
        </w:rPr>
        <w:t xml:space="preserve"> </w:t>
      </w:r>
      <w:proofErr w:type="spellStart"/>
      <w:r w:rsidRPr="00247AC6">
        <w:rPr>
          <w:rFonts w:ascii="Times New Roman" w:hAnsi="Times New Roman" w:cs="Times New Roman"/>
          <w:sz w:val="24"/>
          <w:szCs w:val="24"/>
        </w:rPr>
        <w:t>Hamieh</w:t>
      </w:r>
      <w:proofErr w:type="spellEnd"/>
      <w:r w:rsidRPr="00247AC6">
        <w:rPr>
          <w:rFonts w:ascii="Times New Roman" w:hAnsi="Times New Roman" w:cs="Times New Roman"/>
          <w:sz w:val="24"/>
          <w:szCs w:val="24"/>
        </w:rPr>
        <w:t xml:space="preserve"> </w:t>
      </w:r>
    </w:p>
    <w:p w:rsidR="00E10E3E" w:rsidRPr="00247AC6" w:rsidRDefault="00E10E3E" w:rsidP="00247AC6">
      <w:pPr>
        <w:rPr>
          <w:rFonts w:ascii="Times New Roman" w:hAnsi="Times New Roman" w:cs="Times New Roman"/>
          <w:szCs w:val="24"/>
        </w:rPr>
      </w:pPr>
      <w:r w:rsidRPr="00247AC6">
        <w:rPr>
          <w:rFonts w:ascii="Times New Roman" w:hAnsi="Times New Roman" w:cs="Times New Roman"/>
          <w:szCs w:val="24"/>
        </w:rPr>
        <w:t xml:space="preserve">Maastricht University, </w:t>
      </w:r>
      <w:proofErr w:type="gramStart"/>
      <w:r w:rsidRPr="00247AC6">
        <w:rPr>
          <w:rFonts w:ascii="Times New Roman" w:hAnsi="Times New Roman" w:cs="Times New Roman"/>
          <w:szCs w:val="24"/>
        </w:rPr>
        <w:t>The</w:t>
      </w:r>
      <w:proofErr w:type="gramEnd"/>
      <w:r w:rsidRPr="00247AC6">
        <w:rPr>
          <w:rFonts w:ascii="Times New Roman" w:hAnsi="Times New Roman" w:cs="Times New Roman"/>
          <w:szCs w:val="24"/>
        </w:rPr>
        <w:t xml:space="preserve"> Netherlands</w:t>
      </w:r>
    </w:p>
    <w:p w:rsidR="00E10E3E" w:rsidRPr="00247AC6" w:rsidRDefault="00E10E3E" w:rsidP="00247AC6">
      <w:pPr>
        <w:jc w:val="center"/>
        <w:rPr>
          <w:rFonts w:ascii="Times New Roman" w:hAnsi="Times New Roman" w:cs="Times New Roman"/>
          <w:b/>
          <w:sz w:val="24"/>
          <w:szCs w:val="24"/>
        </w:rPr>
      </w:pPr>
      <w:r w:rsidRPr="00247AC6">
        <w:rPr>
          <w:rFonts w:ascii="Times New Roman" w:hAnsi="Times New Roman" w:cs="Times New Roman"/>
          <w:b/>
          <w:sz w:val="24"/>
          <w:szCs w:val="24"/>
        </w:rPr>
        <w:t>Abstract</w:t>
      </w:r>
    </w:p>
    <w:p w:rsidR="00E10E3E" w:rsidRPr="00247AC6" w:rsidRDefault="00E10E3E" w:rsidP="00E10E3E">
      <w:pPr>
        <w:jc w:val="both"/>
        <w:rPr>
          <w:rFonts w:ascii="Times New Roman" w:hAnsi="Times New Roman" w:cs="Times New Roman"/>
          <w:sz w:val="20"/>
          <w:szCs w:val="24"/>
        </w:rPr>
      </w:pPr>
      <w:r w:rsidRPr="00247AC6">
        <w:rPr>
          <w:rFonts w:ascii="Times New Roman" w:hAnsi="Times New Roman" w:cs="Times New Roman"/>
          <w:sz w:val="20"/>
          <w:szCs w:val="24"/>
        </w:rPr>
        <w:t xml:space="preserve">The </w:t>
      </w:r>
      <w:r w:rsidR="002603B4" w:rsidRPr="00247AC6">
        <w:rPr>
          <w:rFonts w:ascii="Times New Roman" w:hAnsi="Times New Roman" w:cs="Times New Roman"/>
          <w:sz w:val="20"/>
          <w:szCs w:val="24"/>
        </w:rPr>
        <w:t>Inverse Gas Chromatography</w:t>
      </w:r>
      <w:r w:rsidRPr="00247AC6">
        <w:rPr>
          <w:rFonts w:ascii="Times New Roman" w:hAnsi="Times New Roman" w:cs="Times New Roman"/>
          <w:sz w:val="20"/>
          <w:szCs w:val="24"/>
        </w:rPr>
        <w:t xml:space="preserve"> (IGC) technique at infinite dilution was used during the last forty years to determine the surface physicochemical properties, the Lewis acid-base constants as well as the London dispersive surface free energy </w:t>
      </w:r>
      <w:r w:rsidRPr="00247AC6">
        <w:rPr>
          <w:rFonts w:ascii="Cambria Math" w:hAnsi="Cambria Math" w:cs="Cambria Math"/>
          <w:sz w:val="20"/>
          <w:szCs w:val="24"/>
        </w:rPr>
        <w:t>𝜸𝒔</w:t>
      </w:r>
      <w:r w:rsidRPr="00247AC6">
        <w:rPr>
          <w:rFonts w:ascii="Times New Roman" w:hAnsi="Times New Roman" w:cs="Times New Roman"/>
          <w:sz w:val="20"/>
          <w:szCs w:val="24"/>
        </w:rPr>
        <w:t xml:space="preserve"> </w:t>
      </w:r>
      <w:r w:rsidRPr="00247AC6">
        <w:rPr>
          <w:rFonts w:ascii="Cambria Math" w:hAnsi="Cambria Math" w:cs="Cambria Math"/>
          <w:sz w:val="20"/>
          <w:szCs w:val="24"/>
        </w:rPr>
        <w:t>𝒅</w:t>
      </w:r>
      <w:r w:rsidRPr="00247AC6">
        <w:rPr>
          <w:rFonts w:ascii="Times New Roman" w:hAnsi="Times New Roman" w:cs="Times New Roman"/>
          <w:sz w:val="20"/>
          <w:szCs w:val="24"/>
        </w:rPr>
        <w:t xml:space="preserve"> of materials and nanomaterials. In this study, we give a new and complete methodology to study the surfaces and interfaces of materials by criticizing the classic chromatographic models and by proposing new models that give more accurate results. While the London dispersive surface free energy was estimated by using the well-known </w:t>
      </w:r>
      <w:proofErr w:type="spellStart"/>
      <w:r w:rsidRPr="00247AC6">
        <w:rPr>
          <w:rFonts w:ascii="Times New Roman" w:hAnsi="Times New Roman" w:cs="Times New Roman"/>
          <w:sz w:val="20"/>
          <w:szCs w:val="24"/>
        </w:rPr>
        <w:t>Fowkes</w:t>
      </w:r>
      <w:proofErr w:type="spellEnd"/>
      <w:r w:rsidRPr="00247AC6">
        <w:rPr>
          <w:rFonts w:ascii="Times New Roman" w:hAnsi="Times New Roman" w:cs="Times New Roman"/>
          <w:sz w:val="20"/>
          <w:szCs w:val="24"/>
        </w:rPr>
        <w:t xml:space="preserve"> equation, </w:t>
      </w:r>
      <w:proofErr w:type="spellStart"/>
      <w:r w:rsidRPr="00247AC6">
        <w:rPr>
          <w:rFonts w:ascii="Times New Roman" w:hAnsi="Times New Roman" w:cs="Times New Roman"/>
          <w:sz w:val="20"/>
          <w:szCs w:val="24"/>
        </w:rPr>
        <w:t>Dorris</w:t>
      </w:r>
      <w:proofErr w:type="spellEnd"/>
      <w:r w:rsidRPr="00247AC6">
        <w:rPr>
          <w:rFonts w:ascii="Times New Roman" w:hAnsi="Times New Roman" w:cs="Times New Roman"/>
          <w:sz w:val="20"/>
          <w:szCs w:val="24"/>
        </w:rPr>
        <w:t xml:space="preserve">-Gray relation, we proposed a correction to this relation and testing six other molecular models based on the values of the surface areas of organic molecules and </w:t>
      </w:r>
      <w:proofErr w:type="spellStart"/>
      <w:r w:rsidRPr="00247AC6">
        <w:rPr>
          <w:rFonts w:ascii="Times New Roman" w:hAnsi="Times New Roman" w:cs="Times New Roman"/>
          <w:sz w:val="20"/>
          <w:szCs w:val="24"/>
        </w:rPr>
        <w:t>Hamieh</w:t>
      </w:r>
      <w:proofErr w:type="spellEnd"/>
      <w:r w:rsidRPr="00247AC6">
        <w:rPr>
          <w:rFonts w:ascii="Times New Roman" w:hAnsi="Times New Roman" w:cs="Times New Roman"/>
          <w:sz w:val="20"/>
          <w:szCs w:val="24"/>
        </w:rPr>
        <w:t xml:space="preserve"> model taking into account the thermal effect. We d</w:t>
      </w:r>
      <w:bookmarkStart w:id="0" w:name="_GoBack"/>
      <w:bookmarkEnd w:id="0"/>
      <w:r w:rsidRPr="00247AC6">
        <w:rPr>
          <w:rFonts w:ascii="Times New Roman" w:hAnsi="Times New Roman" w:cs="Times New Roman"/>
          <w:sz w:val="20"/>
          <w:szCs w:val="24"/>
        </w:rPr>
        <w:t>etermined</w:t>
      </w:r>
      <w:r w:rsidR="002603B4">
        <w:rPr>
          <w:rFonts w:ascii="Times New Roman" w:hAnsi="Times New Roman" w:cs="Times New Roman"/>
          <w:sz w:val="20"/>
          <w:szCs w:val="24"/>
        </w:rPr>
        <w:t xml:space="preserve"> </w:t>
      </w:r>
      <w:r w:rsidRPr="00247AC6">
        <w:rPr>
          <w:rFonts w:ascii="Times New Roman" w:hAnsi="Times New Roman" w:cs="Times New Roman"/>
          <w:sz w:val="20"/>
          <w:szCs w:val="24"/>
        </w:rPr>
        <w:t>new</w:t>
      </w:r>
      <w:r w:rsidR="002603B4">
        <w:rPr>
          <w:rFonts w:ascii="Times New Roman" w:hAnsi="Times New Roman" w:cs="Times New Roman"/>
          <w:sz w:val="20"/>
          <w:szCs w:val="24"/>
        </w:rPr>
        <w:t xml:space="preserve"> </w:t>
      </w:r>
      <w:r w:rsidRPr="00247AC6">
        <w:rPr>
          <w:rFonts w:ascii="Times New Roman" w:hAnsi="Times New Roman" w:cs="Times New Roman"/>
          <w:sz w:val="20"/>
          <w:szCs w:val="24"/>
        </w:rPr>
        <w:t>expressions of the var</w:t>
      </w:r>
      <w:r w:rsidR="002603B4">
        <w:rPr>
          <w:rFonts w:ascii="Times New Roman" w:hAnsi="Times New Roman" w:cs="Times New Roman"/>
          <w:sz w:val="20"/>
          <w:szCs w:val="24"/>
        </w:rPr>
        <w:t xml:space="preserve">ious surface area, respectively </w:t>
      </w:r>
      <w:r w:rsidRPr="00247AC6">
        <w:rPr>
          <w:rFonts w:ascii="Times New Roman" w:hAnsi="Times New Roman" w:cs="Times New Roman"/>
          <w:sz w:val="20"/>
          <w:szCs w:val="24"/>
        </w:rPr>
        <w:t xml:space="preserve">of n-alkanes </w:t>
      </w:r>
      <w:r w:rsidRPr="00247AC6">
        <w:rPr>
          <w:rFonts w:ascii="Cambria Math" w:hAnsi="Cambria Math" w:cs="Cambria Math"/>
          <w:sz w:val="20"/>
          <w:szCs w:val="24"/>
        </w:rPr>
        <w:t/>
      </w:r>
      <w:proofErr w:type="gramStart"/>
      <w:r w:rsidRPr="00247AC6">
        <w:rPr>
          <w:rFonts w:ascii="Cambria Math" w:hAnsi="Cambria Math" w:cs="Cambria Math"/>
          <w:sz w:val="20"/>
          <w:szCs w:val="24"/>
        </w:rPr>
        <w:t/>
      </w:r>
      <w:r w:rsidRPr="00247AC6">
        <w:rPr>
          <w:rFonts w:ascii="Times New Roman" w:hAnsi="Times New Roman" w:cs="Times New Roman"/>
          <w:sz w:val="20"/>
          <w:szCs w:val="24"/>
        </w:rPr>
        <w:t>(</w:t>
      </w:r>
      <w:proofErr w:type="gramEnd"/>
      <w:r w:rsidRPr="00247AC6">
        <w:rPr>
          <w:rFonts w:ascii="Cambria Math" w:hAnsi="Cambria Math" w:cs="Cambria Math"/>
          <w:sz w:val="20"/>
          <w:szCs w:val="24"/>
        </w:rPr>
        <w:t>𝑛</w:t>
      </w:r>
      <w:r w:rsidR="002603B4">
        <w:rPr>
          <w:rFonts w:ascii="Times New Roman" w:hAnsi="Times New Roman" w:cs="Times New Roman"/>
          <w:sz w:val="20"/>
          <w:szCs w:val="24"/>
        </w:rPr>
        <w:t>,</w:t>
      </w:r>
      <w:r w:rsidRPr="00247AC6">
        <w:rPr>
          <w:rFonts w:ascii="Cambria Math" w:hAnsi="Cambria Math" w:cs="Cambria Math"/>
          <w:sz w:val="20"/>
          <w:szCs w:val="24"/>
        </w:rPr>
        <w:t>𝑇</w:t>
      </w:r>
      <w:r w:rsidRPr="00247AC6">
        <w:rPr>
          <w:rFonts w:ascii="Times New Roman" w:hAnsi="Times New Roman" w:cs="Times New Roman"/>
          <w:sz w:val="20"/>
          <w:szCs w:val="24"/>
        </w:rPr>
        <w:t xml:space="preserve">), methylene group </w:t>
      </w:r>
      <w:r w:rsidRPr="00247AC6">
        <w:rPr>
          <w:rFonts w:ascii="Cambria Math" w:hAnsi="Cambria Math" w:cs="Cambria Math"/>
          <w:sz w:val="20"/>
          <w:szCs w:val="24"/>
        </w:rPr>
        <w:t>𝑎</w:t>
      </w:r>
      <w:r w:rsidRPr="00247AC6">
        <w:rPr>
          <w:rFonts w:ascii="Times New Roman" w:hAnsi="Times New Roman" w:cs="Times New Roman"/>
          <w:sz w:val="20"/>
          <w:szCs w:val="24"/>
        </w:rPr>
        <w:t>−</w:t>
      </w:r>
      <w:r w:rsidRPr="00247AC6">
        <w:rPr>
          <w:rFonts w:ascii="Cambria Math" w:hAnsi="Cambria Math" w:cs="Cambria Math"/>
          <w:sz w:val="20"/>
          <w:szCs w:val="24"/>
        </w:rPr>
        <w:t>𝐶𝐻</w:t>
      </w:r>
      <w:r w:rsidRPr="00247AC6">
        <w:rPr>
          <w:rFonts w:ascii="Times New Roman" w:hAnsi="Times New Roman" w:cs="Times New Roman"/>
          <w:sz w:val="20"/>
          <w:szCs w:val="24"/>
        </w:rPr>
        <w:t xml:space="preserve">2− and polar molecules </w:t>
      </w:r>
      <w:r w:rsidRPr="00247AC6">
        <w:rPr>
          <w:rFonts w:ascii="Cambria Math" w:hAnsi="Cambria Math" w:cs="Cambria Math"/>
          <w:sz w:val="20"/>
          <w:szCs w:val="24"/>
        </w:rPr>
        <w:t>𝑎𝑋</w:t>
      </w:r>
      <w:r w:rsidRPr="00247AC6">
        <w:rPr>
          <w:rFonts w:ascii="Times New Roman" w:hAnsi="Times New Roman" w:cs="Times New Roman"/>
          <w:sz w:val="20"/>
          <w:szCs w:val="24"/>
        </w:rPr>
        <w:t>(</w:t>
      </w:r>
      <w:r w:rsidRPr="00247AC6">
        <w:rPr>
          <w:rFonts w:ascii="Cambria Math" w:hAnsi="Cambria Math" w:cs="Cambria Math"/>
          <w:sz w:val="20"/>
          <w:szCs w:val="24"/>
        </w:rPr>
        <w:t>𝑇</w:t>
      </w:r>
      <w:r w:rsidRPr="00247AC6">
        <w:rPr>
          <w:rFonts w:ascii="Times New Roman" w:hAnsi="Times New Roman" w:cs="Times New Roman"/>
          <w:sz w:val="20"/>
          <w:szCs w:val="24"/>
        </w:rPr>
        <w:t xml:space="preserve">) </w:t>
      </w:r>
      <w:r w:rsidRPr="002603B4">
        <w:rPr>
          <w:rFonts w:ascii="Times New Roman" w:hAnsi="Times New Roman" w:cs="Times New Roman"/>
          <w:i/>
          <w:sz w:val="20"/>
          <w:szCs w:val="24"/>
        </w:rPr>
        <w:t>versus</w:t>
      </w:r>
      <w:r w:rsidRPr="00247AC6">
        <w:rPr>
          <w:rFonts w:ascii="Times New Roman" w:hAnsi="Times New Roman" w:cs="Times New Roman"/>
          <w:sz w:val="20"/>
          <w:szCs w:val="24"/>
        </w:rPr>
        <w:t xml:space="preserve"> the temperature T and using the new expressions to obtain more precise values of the surface parameters of materials. The Gibbs surface free energy of the adsorption values obtained by inverse gas chromatography against the temperature was determined for many surfaces by using fourteen methods such as that of </w:t>
      </w:r>
      <w:proofErr w:type="spellStart"/>
      <w:r w:rsidRPr="00247AC6">
        <w:rPr>
          <w:rFonts w:ascii="Times New Roman" w:hAnsi="Times New Roman" w:cs="Times New Roman"/>
          <w:sz w:val="20"/>
          <w:szCs w:val="24"/>
        </w:rPr>
        <w:t>Swayer-Brookman</w:t>
      </w:r>
      <w:proofErr w:type="spellEnd"/>
      <w:r w:rsidRPr="00247AC6">
        <w:rPr>
          <w:rFonts w:ascii="Times New Roman" w:hAnsi="Times New Roman" w:cs="Times New Roman"/>
          <w:sz w:val="20"/>
          <w:szCs w:val="24"/>
        </w:rPr>
        <w:t xml:space="preserve">, Saint-Flour </w:t>
      </w:r>
      <w:proofErr w:type="spellStart"/>
      <w:r w:rsidRPr="00247AC6">
        <w:rPr>
          <w:rFonts w:ascii="Times New Roman" w:hAnsi="Times New Roman" w:cs="Times New Roman"/>
          <w:sz w:val="20"/>
          <w:szCs w:val="24"/>
        </w:rPr>
        <w:t>Papirer</w:t>
      </w:r>
      <w:proofErr w:type="spellEnd"/>
      <w:r w:rsidRPr="00247AC6">
        <w:rPr>
          <w:rFonts w:ascii="Times New Roman" w:hAnsi="Times New Roman" w:cs="Times New Roman"/>
          <w:sz w:val="20"/>
          <w:szCs w:val="24"/>
        </w:rPr>
        <w:t xml:space="preserve">, </w:t>
      </w:r>
      <w:proofErr w:type="spellStart"/>
      <w:r w:rsidRPr="00247AC6">
        <w:rPr>
          <w:rFonts w:ascii="Times New Roman" w:hAnsi="Times New Roman" w:cs="Times New Roman"/>
          <w:sz w:val="20"/>
          <w:szCs w:val="24"/>
        </w:rPr>
        <w:t>Donnet</w:t>
      </w:r>
      <w:proofErr w:type="spellEnd"/>
      <w:r w:rsidRPr="00247AC6">
        <w:rPr>
          <w:rFonts w:ascii="Times New Roman" w:hAnsi="Times New Roman" w:cs="Times New Roman"/>
          <w:sz w:val="20"/>
          <w:szCs w:val="24"/>
        </w:rPr>
        <w:t xml:space="preserve">, </w:t>
      </w:r>
      <w:proofErr w:type="spellStart"/>
      <w:r w:rsidRPr="00247AC6">
        <w:rPr>
          <w:rFonts w:ascii="Times New Roman" w:hAnsi="Times New Roman" w:cs="Times New Roman"/>
          <w:sz w:val="20"/>
          <w:szCs w:val="24"/>
        </w:rPr>
        <w:t>Brendl</w:t>
      </w:r>
      <w:r w:rsidR="002603B4">
        <w:rPr>
          <w:rFonts w:ascii="Times New Roman" w:hAnsi="Times New Roman" w:cs="Times New Roman"/>
          <w:sz w:val="20"/>
          <w:szCs w:val="24"/>
        </w:rPr>
        <w:t>e</w:t>
      </w:r>
      <w:proofErr w:type="spellEnd"/>
      <w:r w:rsidRPr="00247AC6">
        <w:rPr>
          <w:rFonts w:ascii="Times New Roman" w:hAnsi="Times New Roman" w:cs="Times New Roman"/>
          <w:sz w:val="20"/>
          <w:szCs w:val="24"/>
        </w:rPr>
        <w:t xml:space="preserve"> and </w:t>
      </w:r>
      <w:proofErr w:type="spellStart"/>
      <w:r w:rsidRPr="00247AC6">
        <w:rPr>
          <w:rFonts w:ascii="Times New Roman" w:hAnsi="Times New Roman" w:cs="Times New Roman"/>
          <w:sz w:val="20"/>
          <w:szCs w:val="24"/>
        </w:rPr>
        <w:t>Papirer</w:t>
      </w:r>
      <w:proofErr w:type="spellEnd"/>
      <w:r w:rsidRPr="00247AC6">
        <w:rPr>
          <w:rFonts w:ascii="Times New Roman" w:hAnsi="Times New Roman" w:cs="Times New Roman"/>
          <w:sz w:val="20"/>
          <w:szCs w:val="24"/>
        </w:rPr>
        <w:t xml:space="preserve">, </w:t>
      </w:r>
      <w:proofErr w:type="spellStart"/>
      <w:r w:rsidRPr="00247AC6">
        <w:rPr>
          <w:rFonts w:ascii="Times New Roman" w:hAnsi="Times New Roman" w:cs="Times New Roman"/>
          <w:sz w:val="20"/>
          <w:szCs w:val="24"/>
        </w:rPr>
        <w:t>Chehimi</w:t>
      </w:r>
      <w:proofErr w:type="spellEnd"/>
      <w:r w:rsidRPr="00247AC6">
        <w:rPr>
          <w:rFonts w:ascii="Times New Roman" w:hAnsi="Times New Roman" w:cs="Times New Roman"/>
          <w:sz w:val="20"/>
          <w:szCs w:val="24"/>
        </w:rPr>
        <w:t xml:space="preserve"> et al, </w:t>
      </w:r>
      <w:proofErr w:type="spellStart"/>
      <w:r w:rsidRPr="00247AC6">
        <w:rPr>
          <w:rFonts w:ascii="Times New Roman" w:hAnsi="Times New Roman" w:cs="Times New Roman"/>
          <w:sz w:val="20"/>
          <w:szCs w:val="24"/>
        </w:rPr>
        <w:t>Hamieh</w:t>
      </w:r>
      <w:proofErr w:type="spellEnd"/>
      <w:r w:rsidRPr="00247AC6">
        <w:rPr>
          <w:rFonts w:ascii="Times New Roman" w:hAnsi="Times New Roman" w:cs="Times New Roman"/>
          <w:sz w:val="20"/>
          <w:szCs w:val="24"/>
        </w:rPr>
        <w:t xml:space="preserve"> methods (thermal method and the methods of the enthalpy of vaporization as a function of the temperature ∆</w:t>
      </w:r>
      <w:r w:rsidRPr="00247AC6">
        <w:rPr>
          <w:rFonts w:ascii="Cambria Math" w:hAnsi="Cambria Math" w:cs="Cambria Math"/>
          <w:sz w:val="20"/>
          <w:szCs w:val="24"/>
        </w:rPr>
        <w:t>𝑯𝒗𝒂𝒑</w:t>
      </w:r>
      <w:r w:rsidRPr="00247AC6">
        <w:rPr>
          <w:rFonts w:ascii="Times New Roman" w:hAnsi="Times New Roman" w:cs="Times New Roman"/>
          <w:sz w:val="20"/>
          <w:szCs w:val="24"/>
        </w:rPr>
        <w:t xml:space="preserve"> </w:t>
      </w:r>
      <w:r w:rsidRPr="00247AC6">
        <w:rPr>
          <w:rFonts w:ascii="Cambria Math" w:hAnsi="Cambria Math" w:cs="Cambria Math"/>
          <w:sz w:val="20"/>
          <w:szCs w:val="24"/>
        </w:rPr>
        <w:t>𝟎</w:t>
      </w:r>
      <w:r w:rsidRPr="00247AC6">
        <w:rPr>
          <w:rFonts w:ascii="Times New Roman" w:hAnsi="Times New Roman" w:cs="Times New Roman"/>
          <w:sz w:val="20"/>
          <w:szCs w:val="24"/>
        </w:rPr>
        <w:t xml:space="preserve"> (</w:t>
      </w:r>
      <w:r w:rsidRPr="00247AC6">
        <w:rPr>
          <w:rFonts w:ascii="Cambria Math" w:hAnsi="Cambria Math" w:cs="Cambria Math"/>
          <w:sz w:val="20"/>
          <w:szCs w:val="24"/>
        </w:rPr>
        <w:t>𝑻</w:t>
      </w:r>
      <w:r w:rsidRPr="00247AC6">
        <w:rPr>
          <w:rFonts w:ascii="Times New Roman" w:hAnsi="Times New Roman" w:cs="Times New Roman"/>
          <w:sz w:val="20"/>
          <w:szCs w:val="24"/>
        </w:rPr>
        <w:t>) and the standard enthalpy of formation ∆</w:t>
      </w:r>
      <w:r w:rsidRPr="00247AC6">
        <w:rPr>
          <w:rFonts w:ascii="Cambria Math" w:hAnsi="Cambria Math" w:cs="Cambria Math"/>
          <w:sz w:val="20"/>
          <w:szCs w:val="24"/>
        </w:rPr>
        <w:t>𝑯𝒇</w:t>
      </w:r>
      <w:r w:rsidRPr="00247AC6">
        <w:rPr>
          <w:rFonts w:ascii="Times New Roman" w:hAnsi="Times New Roman" w:cs="Times New Roman"/>
          <w:sz w:val="20"/>
          <w:szCs w:val="24"/>
        </w:rPr>
        <w:t xml:space="preserve"> </w:t>
      </w:r>
      <w:r w:rsidRPr="00247AC6">
        <w:rPr>
          <w:rFonts w:ascii="Cambria Math" w:hAnsi="Cambria Math" w:cs="Cambria Math"/>
          <w:sz w:val="20"/>
          <w:szCs w:val="24"/>
        </w:rPr>
        <w:t>𝟎</w:t>
      </w:r>
      <w:r w:rsidRPr="00247AC6">
        <w:rPr>
          <w:rFonts w:ascii="Times New Roman" w:hAnsi="Times New Roman" w:cs="Times New Roman"/>
          <w:sz w:val="20"/>
          <w:szCs w:val="24"/>
        </w:rPr>
        <w:t xml:space="preserve"> and the six molecular models. The Lewis acidity parameter </w:t>
      </w:r>
      <w:r w:rsidRPr="00247AC6">
        <w:rPr>
          <w:rFonts w:ascii="Cambria Math" w:hAnsi="Cambria Math" w:cs="Cambria Math"/>
          <w:sz w:val="20"/>
          <w:szCs w:val="24"/>
        </w:rPr>
        <w:t>𝑲𝑨</w:t>
      </w:r>
      <w:r w:rsidRPr="00247AC6">
        <w:rPr>
          <w:rFonts w:ascii="Times New Roman" w:hAnsi="Times New Roman" w:cs="Times New Roman"/>
          <w:sz w:val="20"/>
          <w:szCs w:val="24"/>
        </w:rPr>
        <w:t xml:space="preserve"> and Lewis basicity parameter, </w:t>
      </w:r>
      <w:r w:rsidRPr="00247AC6">
        <w:rPr>
          <w:rFonts w:ascii="Cambria Math" w:hAnsi="Cambria Math" w:cs="Cambria Math"/>
          <w:sz w:val="20"/>
          <w:szCs w:val="24"/>
        </w:rPr>
        <w:t>𝑲𝑫</w:t>
      </w:r>
      <w:r w:rsidRPr="00247AC6">
        <w:rPr>
          <w:rFonts w:ascii="Times New Roman" w:hAnsi="Times New Roman" w:cs="Times New Roman"/>
          <w:sz w:val="20"/>
          <w:szCs w:val="24"/>
        </w:rPr>
        <w:t xml:space="preserve"> was calculated by the above stated fourteen methods. Our results based on the new concepts and models gave the more accurate values of the specific surface thermodynamic variables of materials compared to the other inverse gas chromatography methods. </w:t>
      </w:r>
    </w:p>
    <w:p w:rsidR="00E10E3E" w:rsidRPr="00247AC6" w:rsidRDefault="00E10E3E" w:rsidP="00E10E3E">
      <w:pPr>
        <w:jc w:val="both"/>
        <w:rPr>
          <w:rFonts w:ascii="Times New Roman" w:hAnsi="Times New Roman" w:cs="Times New Roman"/>
          <w:sz w:val="20"/>
          <w:szCs w:val="24"/>
        </w:rPr>
      </w:pPr>
      <w:r w:rsidRPr="00247AC6">
        <w:rPr>
          <w:rFonts w:ascii="Times New Roman" w:hAnsi="Times New Roman" w:cs="Times New Roman"/>
          <w:sz w:val="20"/>
          <w:szCs w:val="24"/>
        </w:rPr>
        <w:t>Variations of ∆</w:t>
      </w:r>
      <w:r w:rsidRPr="00247AC6">
        <w:rPr>
          <w:rFonts w:ascii="Cambria Math" w:hAnsi="Cambria Math" w:cs="Cambria Math"/>
          <w:sz w:val="20"/>
          <w:szCs w:val="24"/>
        </w:rPr>
        <w:t>𝐺𝑎</w:t>
      </w:r>
      <w:r w:rsidRPr="00247AC6">
        <w:rPr>
          <w:rFonts w:ascii="Times New Roman" w:hAnsi="Times New Roman" w:cs="Times New Roman"/>
          <w:sz w:val="20"/>
          <w:szCs w:val="24"/>
        </w:rPr>
        <w:t xml:space="preserve"> </w:t>
      </w:r>
      <w:r w:rsidRPr="00247AC6">
        <w:rPr>
          <w:rFonts w:ascii="Cambria Math" w:hAnsi="Cambria Math" w:cs="Cambria Math"/>
          <w:sz w:val="20"/>
          <w:szCs w:val="24"/>
        </w:rPr>
        <w:t>𝑠𝑝</w:t>
      </w:r>
      <w:r w:rsidRPr="00247AC6">
        <w:rPr>
          <w:rFonts w:ascii="Times New Roman" w:hAnsi="Times New Roman" w:cs="Times New Roman"/>
          <w:sz w:val="20"/>
          <w:szCs w:val="24"/>
        </w:rPr>
        <w:t xml:space="preserve"> as a function of the temperature for benzene adsorbed on silica particles by using the different IGC models and methods: </w:t>
      </w:r>
      <w:proofErr w:type="spellStart"/>
      <w:r w:rsidRPr="00247AC6">
        <w:rPr>
          <w:rFonts w:ascii="Times New Roman" w:hAnsi="Times New Roman" w:cs="Times New Roman"/>
          <w:sz w:val="20"/>
          <w:szCs w:val="24"/>
        </w:rPr>
        <w:t>Kiselev</w:t>
      </w:r>
      <w:proofErr w:type="spellEnd"/>
      <w:r w:rsidRPr="00247AC6">
        <w:rPr>
          <w:rFonts w:ascii="Times New Roman" w:hAnsi="Times New Roman" w:cs="Times New Roman"/>
          <w:sz w:val="20"/>
          <w:szCs w:val="24"/>
        </w:rPr>
        <w:t xml:space="preserve">, Van der Waals, </w:t>
      </w:r>
      <w:proofErr w:type="spellStart"/>
      <w:r w:rsidRPr="00247AC6">
        <w:rPr>
          <w:rFonts w:ascii="Times New Roman" w:hAnsi="Times New Roman" w:cs="Times New Roman"/>
          <w:sz w:val="20"/>
          <w:szCs w:val="24"/>
        </w:rPr>
        <w:t>Redlich-Kwong</w:t>
      </w:r>
      <w:proofErr w:type="spellEnd"/>
      <w:r w:rsidRPr="00247AC6">
        <w:rPr>
          <w:rFonts w:ascii="Times New Roman" w:hAnsi="Times New Roman" w:cs="Times New Roman"/>
          <w:sz w:val="20"/>
          <w:szCs w:val="24"/>
        </w:rPr>
        <w:t xml:space="preserve">, geometric, spherical and thermal models of molecular surface areas; and Boiling point, vapor pressure, deformation </w:t>
      </w:r>
      <w:proofErr w:type="spellStart"/>
      <w:r w:rsidRPr="00247AC6">
        <w:rPr>
          <w:rFonts w:ascii="Times New Roman" w:hAnsi="Times New Roman" w:cs="Times New Roman"/>
          <w:sz w:val="20"/>
          <w:szCs w:val="24"/>
        </w:rPr>
        <w:t>polarizability</w:t>
      </w:r>
      <w:proofErr w:type="spellEnd"/>
      <w:r w:rsidRPr="00247AC6">
        <w:rPr>
          <w:rFonts w:ascii="Times New Roman" w:hAnsi="Times New Roman" w:cs="Times New Roman"/>
          <w:sz w:val="20"/>
          <w:szCs w:val="24"/>
        </w:rPr>
        <w:t>, enthalpy of vaporization, ∆</w:t>
      </w:r>
      <w:r w:rsidRPr="00247AC6">
        <w:rPr>
          <w:rFonts w:ascii="Cambria Math" w:hAnsi="Cambria Math" w:cs="Cambria Math"/>
          <w:sz w:val="20"/>
          <w:szCs w:val="24"/>
        </w:rPr>
        <w:t>𝐻𝑣𝑎𝑝</w:t>
      </w:r>
      <w:r w:rsidR="002603B4">
        <w:rPr>
          <w:rFonts w:ascii="Times New Roman" w:hAnsi="Times New Roman" w:cs="Times New Roman"/>
          <w:sz w:val="20"/>
          <w:szCs w:val="24"/>
        </w:rPr>
        <w:t xml:space="preserve">. </w:t>
      </w:r>
      <w:proofErr w:type="gramStart"/>
      <w:r w:rsidR="002603B4">
        <w:rPr>
          <w:rFonts w:ascii="Times New Roman" w:hAnsi="Times New Roman" w:cs="Times New Roman"/>
          <w:sz w:val="20"/>
          <w:szCs w:val="24"/>
        </w:rPr>
        <w:t>0</w:t>
      </w:r>
      <w:r w:rsidRPr="00247AC6">
        <w:rPr>
          <w:rFonts w:ascii="Times New Roman" w:hAnsi="Times New Roman" w:cs="Times New Roman"/>
          <w:sz w:val="20"/>
          <w:szCs w:val="24"/>
        </w:rPr>
        <w:t>, ∆</w:t>
      </w:r>
      <w:r w:rsidRPr="00247AC6">
        <w:rPr>
          <w:rFonts w:ascii="Cambria Math" w:hAnsi="Cambria Math" w:cs="Cambria Math"/>
          <w:sz w:val="20"/>
          <w:szCs w:val="24"/>
        </w:rPr>
        <w:t>𝐻𝑣𝑎𝑝</w:t>
      </w:r>
      <w:r w:rsidRPr="00247AC6">
        <w:rPr>
          <w:rFonts w:ascii="Times New Roman" w:hAnsi="Times New Roman" w:cs="Times New Roman"/>
          <w:sz w:val="20"/>
          <w:szCs w:val="24"/>
        </w:rPr>
        <w:t>.</w:t>
      </w:r>
      <w:proofErr w:type="gramEnd"/>
      <w:r w:rsidRPr="00247AC6">
        <w:rPr>
          <w:rFonts w:ascii="Times New Roman" w:hAnsi="Times New Roman" w:cs="Times New Roman"/>
          <w:sz w:val="20"/>
          <w:szCs w:val="24"/>
        </w:rPr>
        <w:t xml:space="preserve"> 0 (</w:t>
      </w:r>
      <w:r w:rsidRPr="00247AC6">
        <w:rPr>
          <w:rFonts w:ascii="Cambria Math" w:hAnsi="Cambria Math" w:cs="Cambria Math"/>
          <w:sz w:val="20"/>
          <w:szCs w:val="24"/>
        </w:rPr>
        <w:t>𝑇</w:t>
      </w:r>
      <w:r w:rsidRPr="00247AC6">
        <w:rPr>
          <w:rFonts w:ascii="Times New Roman" w:hAnsi="Times New Roman" w:cs="Times New Roman"/>
          <w:sz w:val="20"/>
          <w:szCs w:val="24"/>
        </w:rPr>
        <w:t xml:space="preserve">) and Topological index methods. </w:t>
      </w:r>
    </w:p>
    <w:p w:rsidR="00247AC6" w:rsidRPr="00247AC6" w:rsidRDefault="00E10E3E" w:rsidP="00247AC6">
      <w:pPr>
        <w:rPr>
          <w:rFonts w:ascii="Times New Roman" w:hAnsi="Times New Roman" w:cs="Times New Roman"/>
          <w:b/>
          <w:sz w:val="24"/>
          <w:szCs w:val="24"/>
        </w:rPr>
      </w:pPr>
      <w:r w:rsidRPr="00247AC6">
        <w:rPr>
          <w:rFonts w:ascii="Times New Roman" w:hAnsi="Times New Roman" w:cs="Times New Roman"/>
          <w:b/>
          <w:sz w:val="24"/>
          <w:szCs w:val="24"/>
        </w:rPr>
        <w:t xml:space="preserve">Biography </w:t>
      </w:r>
    </w:p>
    <w:p w:rsidR="000A2E65" w:rsidRPr="00247AC6" w:rsidRDefault="00E10E3E" w:rsidP="00E10E3E">
      <w:pPr>
        <w:jc w:val="both"/>
        <w:rPr>
          <w:rFonts w:ascii="Times New Roman" w:hAnsi="Times New Roman" w:cs="Times New Roman"/>
          <w:sz w:val="20"/>
          <w:szCs w:val="24"/>
        </w:rPr>
      </w:pPr>
      <w:proofErr w:type="spellStart"/>
      <w:r w:rsidRPr="00247AC6">
        <w:rPr>
          <w:rFonts w:ascii="Times New Roman" w:hAnsi="Times New Roman" w:cs="Times New Roman"/>
          <w:sz w:val="20"/>
          <w:szCs w:val="24"/>
        </w:rPr>
        <w:t>Hamieh</w:t>
      </w:r>
      <w:proofErr w:type="spellEnd"/>
      <w:r w:rsidRPr="00247AC6">
        <w:rPr>
          <w:rFonts w:ascii="Times New Roman" w:hAnsi="Times New Roman" w:cs="Times New Roman"/>
          <w:sz w:val="20"/>
          <w:szCs w:val="24"/>
        </w:rPr>
        <w:t xml:space="preserve"> T completed his first PhD in Physical Chemistry (1985), his HDR (1996) and</w:t>
      </w:r>
      <w:r w:rsidR="00D20404">
        <w:rPr>
          <w:rFonts w:ascii="Times New Roman" w:hAnsi="Times New Roman" w:cs="Times New Roman"/>
          <w:sz w:val="20"/>
          <w:szCs w:val="24"/>
        </w:rPr>
        <w:t xml:space="preserve"> obtained in 2001 his second PhD</w:t>
      </w:r>
      <w:r w:rsidRPr="00247AC6">
        <w:rPr>
          <w:rFonts w:ascii="Times New Roman" w:hAnsi="Times New Roman" w:cs="Times New Roman"/>
          <w:sz w:val="20"/>
          <w:szCs w:val="24"/>
        </w:rPr>
        <w:t xml:space="preserve"> in Mathematics from the UHA, France. He is now Adjunct Professor at Maastricht University. He was Professor at Lebanese University. He was invited researcher at University </w:t>
      </w:r>
      <w:proofErr w:type="spellStart"/>
      <w:r w:rsidRPr="00247AC6">
        <w:rPr>
          <w:rFonts w:ascii="Times New Roman" w:hAnsi="Times New Roman" w:cs="Times New Roman"/>
          <w:sz w:val="20"/>
          <w:szCs w:val="24"/>
        </w:rPr>
        <w:t>Gustave</w:t>
      </w:r>
      <w:proofErr w:type="spellEnd"/>
      <w:r w:rsidRPr="00247AC6">
        <w:rPr>
          <w:rFonts w:ascii="Times New Roman" w:hAnsi="Times New Roman" w:cs="Times New Roman"/>
          <w:sz w:val="20"/>
          <w:szCs w:val="24"/>
        </w:rPr>
        <w:t xml:space="preserve"> Eiffel. He was Professor at UHA until 2002, invited professor (1998) at University of Alberta, Canada, Visiting Professor (2003 and 2017) at the University of Poitiers. He published over 250 international publications that have been cited over 3700 times and he has been serving as an editorial board member and reviewer of reputed Journals. He supervised and co-supervised more than 30 P</w:t>
      </w:r>
      <w:r w:rsidR="002603B4">
        <w:rPr>
          <w:rFonts w:ascii="Times New Roman" w:hAnsi="Times New Roman" w:cs="Times New Roman"/>
          <w:sz w:val="20"/>
          <w:szCs w:val="24"/>
        </w:rPr>
        <w:t>h</w:t>
      </w:r>
      <w:r w:rsidRPr="00247AC6">
        <w:rPr>
          <w:rFonts w:ascii="Times New Roman" w:hAnsi="Times New Roman" w:cs="Times New Roman"/>
          <w:sz w:val="20"/>
          <w:szCs w:val="24"/>
        </w:rPr>
        <w:t>D and 60 master theses. He also served on many academic, administrative responsibilities, chairperson and editor of many conferences on Materials Sciences; His skills and expertise cover large domain of physical chemistry of materials and nanomaterials, surfaces and interfaces.</w:t>
      </w:r>
    </w:p>
    <w:sectPr w:rsidR="000A2E65" w:rsidRPr="00247A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E3E"/>
    <w:rsid w:val="00247AC6"/>
    <w:rsid w:val="002603B4"/>
    <w:rsid w:val="00572F41"/>
    <w:rsid w:val="00597381"/>
    <w:rsid w:val="009435B5"/>
    <w:rsid w:val="00D20404"/>
    <w:rsid w:val="00E10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0E3E"/>
    <w:rPr>
      <w:color w:val="0000FF" w:themeColor="hyperlink"/>
      <w:u w:val="single"/>
    </w:rPr>
  </w:style>
  <w:style w:type="paragraph" w:styleId="BalloonText">
    <w:name w:val="Balloon Text"/>
    <w:basedOn w:val="Normal"/>
    <w:link w:val="BalloonTextChar"/>
    <w:uiPriority w:val="99"/>
    <w:semiHidden/>
    <w:unhideWhenUsed/>
    <w:rsid w:val="00E10E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E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0E3E"/>
    <w:rPr>
      <w:color w:val="0000FF" w:themeColor="hyperlink"/>
      <w:u w:val="single"/>
    </w:rPr>
  </w:style>
  <w:style w:type="paragraph" w:styleId="BalloonText">
    <w:name w:val="Balloon Text"/>
    <w:basedOn w:val="Normal"/>
    <w:link w:val="BalloonTextChar"/>
    <w:uiPriority w:val="99"/>
    <w:semiHidden/>
    <w:unhideWhenUsed/>
    <w:rsid w:val="00E10E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E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Ravali Mudigiri</dc:creator>
  <cp:lastModifiedBy>Swetha Sandala</cp:lastModifiedBy>
  <cp:revision>4</cp:revision>
  <dcterms:created xsi:type="dcterms:W3CDTF">2022-09-05T05:56:00Z</dcterms:created>
  <dcterms:modified xsi:type="dcterms:W3CDTF">2022-09-05T06:36:00Z</dcterms:modified>
</cp:coreProperties>
</file>