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23C9" w:rsidRPr="00E1220D" w:rsidRDefault="00E1220D" w:rsidP="00E1220D">
      <w:pPr>
        <w:rPr>
          <w:rFonts w:ascii="Times New Roman" w:hAnsi="Times New Roman" w:cs="Times New Roman"/>
          <w:b/>
          <w:sz w:val="32"/>
          <w:szCs w:val="24"/>
        </w:rPr>
      </w:pPr>
      <w:commentRangeStart w:id="0"/>
      <w:r w:rsidRPr="00E1220D">
        <w:rPr>
          <w:rFonts w:ascii="Times New Roman" w:hAnsi="Times New Roman" w:cs="Times New Roman"/>
          <w:b/>
          <w:sz w:val="32"/>
          <w:szCs w:val="24"/>
        </w:rPr>
        <w:t>Simultaneous characterization and determination of warfarin and its hydroxylation metabolites in rat plasma by chiral liquid chromatography-</w:t>
      </w:r>
      <w:r>
        <w:rPr>
          <w:rFonts w:ascii="Times New Roman" w:hAnsi="Times New Roman" w:cs="Times New Roman"/>
          <w:b/>
          <w:sz w:val="32"/>
          <w:szCs w:val="24"/>
        </w:rPr>
        <w:t>T</w:t>
      </w:r>
      <w:r w:rsidRPr="00E1220D">
        <w:rPr>
          <w:rFonts w:ascii="Times New Roman" w:hAnsi="Times New Roman" w:cs="Times New Roman"/>
          <w:b/>
          <w:sz w:val="32"/>
          <w:szCs w:val="24"/>
        </w:rPr>
        <w:t>andem mass spectrometry</w:t>
      </w:r>
      <w:commentRangeEnd w:id="0"/>
      <w:r w:rsidR="00F226DB">
        <w:rPr>
          <w:rStyle w:val="CommentReference"/>
        </w:rPr>
        <w:commentReference w:id="0"/>
      </w:r>
    </w:p>
    <w:p w:rsidR="00E1220D" w:rsidRPr="00E1220D" w:rsidRDefault="00E1220D" w:rsidP="00E1220D">
      <w:p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Shasha</w:t>
      </w:r>
      <w:proofErr w:type="spellEnd"/>
      <w:r>
        <w:rPr>
          <w:rFonts w:ascii="Times New Roman" w:hAnsi="Times New Roman" w:cs="Times New Roman"/>
          <w:color w:val="000000"/>
          <w:sz w:val="24"/>
          <w:szCs w:val="24"/>
        </w:rPr>
        <w:t xml:space="preserve"> Jin</w:t>
      </w:r>
    </w:p>
    <w:p w:rsidR="00CA23C9" w:rsidRPr="00E1220D" w:rsidRDefault="00CA23C9" w:rsidP="00E1220D">
      <w:pPr>
        <w:rPr>
          <w:rFonts w:ascii="Times New Roman" w:hAnsi="Times New Roman" w:cs="Times New Roman"/>
          <w:color w:val="000000"/>
          <w:szCs w:val="24"/>
        </w:rPr>
      </w:pPr>
      <w:proofErr w:type="spellStart"/>
      <w:r w:rsidRPr="00E1220D">
        <w:rPr>
          <w:rFonts w:ascii="Times New Roman" w:hAnsi="Times New Roman" w:cs="Times New Roman"/>
          <w:color w:val="000000"/>
          <w:szCs w:val="24"/>
        </w:rPr>
        <w:t>Fudan</w:t>
      </w:r>
      <w:proofErr w:type="spellEnd"/>
      <w:r w:rsidRPr="00E1220D">
        <w:rPr>
          <w:rFonts w:ascii="Times New Roman" w:hAnsi="Times New Roman" w:cs="Times New Roman"/>
          <w:color w:val="000000"/>
          <w:szCs w:val="24"/>
        </w:rPr>
        <w:t xml:space="preserve"> University, China</w:t>
      </w:r>
    </w:p>
    <w:p w:rsidR="00CA23C9" w:rsidRPr="00E1220D" w:rsidRDefault="00E1220D" w:rsidP="00E1220D">
      <w:pPr>
        <w:jc w:val="center"/>
        <w:rPr>
          <w:rFonts w:ascii="Times New Roman" w:hAnsi="Times New Roman" w:cs="Times New Roman"/>
          <w:color w:val="000000"/>
          <w:sz w:val="24"/>
          <w:szCs w:val="24"/>
        </w:rPr>
      </w:pPr>
      <w:r>
        <w:rPr>
          <w:rFonts w:ascii="Times New Roman" w:hAnsi="Times New Roman" w:cs="Times New Roman"/>
          <w:b/>
          <w:bCs/>
          <w:color w:val="000000"/>
          <w:sz w:val="24"/>
          <w:szCs w:val="24"/>
        </w:rPr>
        <w:t>Abstract</w:t>
      </w:r>
    </w:p>
    <w:p w:rsidR="00CA23C9" w:rsidRPr="00E1220D" w:rsidRDefault="00CA23C9" w:rsidP="00E1220D">
      <w:pPr>
        <w:jc w:val="both"/>
        <w:rPr>
          <w:rFonts w:ascii="Times New Roman" w:hAnsi="Times New Roman" w:cs="Times New Roman"/>
          <w:color w:val="000000"/>
          <w:sz w:val="20"/>
          <w:szCs w:val="24"/>
        </w:rPr>
      </w:pPr>
      <w:r w:rsidRPr="00E1220D">
        <w:rPr>
          <w:rFonts w:ascii="Times New Roman" w:hAnsi="Times New Roman" w:cs="Times New Roman"/>
          <w:color w:val="000000"/>
          <w:sz w:val="20"/>
          <w:szCs w:val="24"/>
        </w:rPr>
        <w:t>Warfarin is extensively used for venous thromboembolism and other</w:t>
      </w:r>
      <w:bookmarkStart w:id="1" w:name="_GoBack"/>
      <w:bookmarkEnd w:id="1"/>
      <w:r w:rsidRPr="00E1220D">
        <w:rPr>
          <w:rFonts w:ascii="Times New Roman" w:hAnsi="Times New Roman" w:cs="Times New Roman"/>
          <w:color w:val="000000"/>
          <w:sz w:val="20"/>
          <w:szCs w:val="24"/>
        </w:rPr>
        <w:t xml:space="preserve"> coagulopathies. In clinical settings, warfarin is administered as a mixture of S- and R-warfarin, and both enantiomers are metabolized by multiple cytochrome P450 enzymes into many hydroxylation metabolites. Due to the high degree of structural similarity of hydroxylation metabolites, their profile possesses significant challenges. The previous methods generally suffer from lacking baseline resolution and/or involving complex analysis processes. To overcome this limitation, a sensitive and specific chiral </w:t>
      </w:r>
      <w:r w:rsidR="004A25CE" w:rsidRPr="00E1220D">
        <w:rPr>
          <w:rFonts w:ascii="Times New Roman" w:hAnsi="Times New Roman" w:cs="Times New Roman"/>
          <w:color w:val="000000"/>
          <w:sz w:val="20"/>
          <w:szCs w:val="24"/>
        </w:rPr>
        <w:t>Liquid Chromatography-Tandem Mass Spectrometry</w:t>
      </w:r>
      <w:r w:rsidRPr="00E1220D">
        <w:rPr>
          <w:rFonts w:ascii="Times New Roman" w:hAnsi="Times New Roman" w:cs="Times New Roman"/>
          <w:color w:val="000000"/>
          <w:sz w:val="20"/>
          <w:szCs w:val="24"/>
        </w:rPr>
        <w:t xml:space="preserve"> (LC-MS/MS) method was developed to simultaneously identify warfarin and </w:t>
      </w:r>
      <w:proofErr w:type="spellStart"/>
      <w:r w:rsidRPr="00E1220D">
        <w:rPr>
          <w:rFonts w:ascii="Times New Roman" w:hAnsi="Times New Roman" w:cs="Times New Roman"/>
          <w:color w:val="000000"/>
          <w:sz w:val="20"/>
          <w:szCs w:val="24"/>
        </w:rPr>
        <w:t>hydroxywarfarins</w:t>
      </w:r>
      <w:proofErr w:type="spellEnd"/>
      <w:r w:rsidRPr="00E1220D">
        <w:rPr>
          <w:rFonts w:ascii="Times New Roman" w:hAnsi="Times New Roman" w:cs="Times New Roman"/>
          <w:color w:val="000000"/>
          <w:sz w:val="20"/>
          <w:szCs w:val="24"/>
        </w:rPr>
        <w:t xml:space="preserve"> enantiomers. Chromatographic separation was achieved on a HYPERSIL CHIRAL-OT column. The mass spectrometric detection was carried out in negative ion MRM mode with electrospray ionization source. The optimized method exhibited satisfactory within-run and between-run accuracy and precision with </w:t>
      </w:r>
      <w:r w:rsidR="00E1220D" w:rsidRPr="00E1220D">
        <w:rPr>
          <w:rFonts w:ascii="Times New Roman" w:hAnsi="Times New Roman" w:cs="Times New Roman"/>
          <w:color w:val="000000"/>
          <w:sz w:val="20"/>
          <w:szCs w:val="24"/>
        </w:rPr>
        <w:t xml:space="preserve">Lower Limit of Quantification </w:t>
      </w:r>
      <w:r w:rsidR="00D2726A">
        <w:rPr>
          <w:rFonts w:ascii="Times New Roman" w:hAnsi="Times New Roman" w:cs="Times New Roman"/>
          <w:color w:val="000000"/>
          <w:sz w:val="20"/>
          <w:szCs w:val="24"/>
        </w:rPr>
        <w:t xml:space="preserve">(LLOQ) of 10.0 </w:t>
      </w:r>
      <w:r w:rsidRPr="00E1220D">
        <w:rPr>
          <w:rFonts w:ascii="Times New Roman" w:hAnsi="Times New Roman" w:cs="Times New Roman"/>
          <w:color w:val="000000"/>
          <w:sz w:val="20"/>
          <w:szCs w:val="24"/>
        </w:rPr>
        <w:t xml:space="preserve">ng/mL and 1.0 ng/mL for warfarin and 7-, 10(R)-OH-warfarin enantiomers, respectively. Linear responses of warfarin enantiomers and 7-, and 10(R)-OH-warfarin enantiomers in rat plasma were observed over the range of 10.0–8000 ng/mL, and 1.00–800 ng/mL, respectively. The </w:t>
      </w:r>
      <w:proofErr w:type="spellStart"/>
      <w:r w:rsidRPr="00E1220D">
        <w:rPr>
          <w:rFonts w:ascii="Times New Roman" w:hAnsi="Times New Roman" w:cs="Times New Roman"/>
          <w:color w:val="000000"/>
          <w:sz w:val="20"/>
          <w:szCs w:val="24"/>
        </w:rPr>
        <w:t>analytes</w:t>
      </w:r>
      <w:proofErr w:type="spellEnd"/>
      <w:r w:rsidRPr="00E1220D">
        <w:rPr>
          <w:rFonts w:ascii="Times New Roman" w:hAnsi="Times New Roman" w:cs="Times New Roman"/>
          <w:color w:val="000000"/>
          <w:sz w:val="20"/>
          <w:szCs w:val="24"/>
        </w:rPr>
        <w:t xml:space="preserve"> were shown to be stable in various experimental conditions in rat plasma. Protein precipitation was used in sample preparation without a matrix effect. This method was successfully applied to pharmacokinetic study for quantitating the concentrations of S/R-warfarin, S/R-7-OH-warfarin, and S/R-10(R)-OH-warfarin and relatively quantitating 3’-, 4-, 6-, and 8-OH warfarin enantiomers in rat plasma</w:t>
      </w:r>
      <w:r w:rsidR="0031188D">
        <w:rPr>
          <w:rFonts w:ascii="Times New Roman" w:hAnsi="Times New Roman" w:cs="Times New Roman"/>
          <w:color w:val="000000"/>
          <w:sz w:val="20"/>
          <w:szCs w:val="24"/>
        </w:rPr>
        <w:t xml:space="preserve"> [Figure 1]</w:t>
      </w:r>
      <w:r w:rsidRPr="00E1220D">
        <w:rPr>
          <w:rFonts w:ascii="Times New Roman" w:hAnsi="Times New Roman" w:cs="Times New Roman"/>
          <w:color w:val="000000"/>
          <w:sz w:val="20"/>
          <w:szCs w:val="24"/>
        </w:rPr>
        <w:t>.</w:t>
      </w:r>
    </w:p>
    <w:p w:rsidR="00CA23C9" w:rsidRDefault="00CA23C9" w:rsidP="00E1220D">
      <w:pPr>
        <w:jc w:val="center"/>
        <w:rPr>
          <w:rFonts w:ascii="Times New Roman" w:hAnsi="Times New Roman" w:cs="Times New Roman"/>
          <w:sz w:val="24"/>
          <w:szCs w:val="24"/>
        </w:rPr>
      </w:pPr>
      <w:r w:rsidRPr="00E1220D">
        <w:rPr>
          <w:rFonts w:ascii="Times New Roman" w:hAnsi="Times New Roman" w:cs="Times New Roman"/>
          <w:noProof/>
          <w:sz w:val="24"/>
          <w:szCs w:val="24"/>
        </w:rPr>
        <w:drawing>
          <wp:inline distT="0" distB="0" distL="0" distR="0" wp14:anchorId="2E15B79B" wp14:editId="12318F73">
            <wp:extent cx="4802585" cy="29022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15191" cy="2909845"/>
                    </a:xfrm>
                    <a:prstGeom prst="rect">
                      <a:avLst/>
                    </a:prstGeom>
                    <a:noFill/>
                    <a:ln>
                      <a:noFill/>
                    </a:ln>
                  </pic:spPr>
                </pic:pic>
              </a:graphicData>
            </a:graphic>
          </wp:inline>
        </w:drawing>
      </w:r>
    </w:p>
    <w:p w:rsidR="00E1220D" w:rsidRDefault="00E1220D" w:rsidP="00E1220D">
      <w:pPr>
        <w:jc w:val="center"/>
        <w:rPr>
          <w:rFonts w:ascii="Times New Roman" w:hAnsi="Times New Roman" w:cs="Times New Roman"/>
          <w:b/>
          <w:i/>
          <w:sz w:val="18"/>
          <w:szCs w:val="24"/>
        </w:rPr>
      </w:pPr>
      <w:proofErr w:type="gramStart"/>
      <w:r w:rsidRPr="00E1220D">
        <w:rPr>
          <w:rFonts w:ascii="Times New Roman" w:hAnsi="Times New Roman" w:cs="Times New Roman"/>
          <w:b/>
          <w:i/>
          <w:sz w:val="18"/>
          <w:szCs w:val="24"/>
        </w:rPr>
        <w:t>Figure 1.</w:t>
      </w:r>
      <w:proofErr w:type="gramEnd"/>
      <w:r w:rsidRPr="00E1220D">
        <w:rPr>
          <w:rFonts w:ascii="Times New Roman" w:hAnsi="Times New Roman" w:cs="Times New Roman"/>
          <w:b/>
          <w:i/>
          <w:sz w:val="18"/>
          <w:szCs w:val="24"/>
        </w:rPr>
        <w:t xml:space="preserve"> </w:t>
      </w:r>
      <w:r w:rsidRPr="00E1220D">
        <w:rPr>
          <w:rFonts w:ascii="Times New Roman" w:hAnsi="Times New Roman" w:cs="Times New Roman"/>
          <w:i/>
          <w:sz w:val="18"/>
          <w:szCs w:val="24"/>
        </w:rPr>
        <w:t>Fragment ions-based decision diagram for the identification of war</w:t>
      </w:r>
      <w:r>
        <w:rPr>
          <w:rFonts w:ascii="Times New Roman" w:hAnsi="Times New Roman" w:cs="Times New Roman"/>
          <w:i/>
          <w:sz w:val="18"/>
          <w:szCs w:val="24"/>
        </w:rPr>
        <w:t xml:space="preserve">farin hydroxylation metabolites, </w:t>
      </w:r>
      <w:r w:rsidRPr="00E1220D">
        <w:rPr>
          <w:rFonts w:ascii="Times New Roman" w:hAnsi="Times New Roman" w:cs="Times New Roman"/>
          <w:i/>
          <w:sz w:val="18"/>
          <w:szCs w:val="24"/>
        </w:rPr>
        <w:t xml:space="preserve">Characterization of warfarin hydroxylation metabolites in rat plasma. The targeted multiple reaction monitoring channels chromatograms of </w:t>
      </w:r>
      <w:proofErr w:type="spellStart"/>
      <w:r w:rsidRPr="00E1220D">
        <w:rPr>
          <w:rFonts w:ascii="Times New Roman" w:hAnsi="Times New Roman" w:cs="Times New Roman"/>
          <w:i/>
          <w:sz w:val="18"/>
          <w:szCs w:val="24"/>
        </w:rPr>
        <w:t>hydroxy</w:t>
      </w:r>
      <w:proofErr w:type="spellEnd"/>
      <w:r w:rsidRPr="00E1220D">
        <w:rPr>
          <w:rFonts w:ascii="Times New Roman" w:hAnsi="Times New Roman" w:cs="Times New Roman"/>
          <w:i/>
          <w:sz w:val="18"/>
          <w:szCs w:val="24"/>
        </w:rPr>
        <w:t>-warfarin in plasma samples (left pane) and standard samples (right pane).</w:t>
      </w:r>
    </w:p>
    <w:p w:rsidR="00CA23C9" w:rsidRPr="00E1220D" w:rsidRDefault="00CA23C9" w:rsidP="00E1220D">
      <w:pPr>
        <w:rPr>
          <w:rFonts w:ascii="Times New Roman" w:hAnsi="Times New Roman" w:cs="Times New Roman"/>
          <w:b/>
          <w:color w:val="000000"/>
          <w:sz w:val="24"/>
          <w:szCs w:val="24"/>
        </w:rPr>
      </w:pPr>
      <w:r w:rsidRPr="00E1220D">
        <w:rPr>
          <w:rFonts w:ascii="Times New Roman" w:hAnsi="Times New Roman" w:cs="Times New Roman"/>
          <w:b/>
          <w:color w:val="000000"/>
          <w:sz w:val="24"/>
          <w:szCs w:val="24"/>
        </w:rPr>
        <w:lastRenderedPageBreak/>
        <w:t>Biography</w:t>
      </w:r>
    </w:p>
    <w:p w:rsidR="00CA23C9" w:rsidRPr="00E1220D" w:rsidRDefault="00CA23C9" w:rsidP="00E1220D">
      <w:pPr>
        <w:jc w:val="both"/>
        <w:rPr>
          <w:rFonts w:ascii="Times New Roman" w:hAnsi="Times New Roman" w:cs="Times New Roman"/>
          <w:sz w:val="24"/>
          <w:szCs w:val="24"/>
        </w:rPr>
      </w:pPr>
      <w:proofErr w:type="spellStart"/>
      <w:r w:rsidRPr="00E1220D">
        <w:rPr>
          <w:rFonts w:ascii="Times New Roman" w:hAnsi="Times New Roman" w:cs="Times New Roman"/>
          <w:color w:val="000000"/>
          <w:sz w:val="20"/>
          <w:szCs w:val="24"/>
        </w:rPr>
        <w:t>Shasha</w:t>
      </w:r>
      <w:proofErr w:type="spellEnd"/>
      <w:r w:rsidRPr="00E1220D">
        <w:rPr>
          <w:rFonts w:ascii="Times New Roman" w:hAnsi="Times New Roman" w:cs="Times New Roman"/>
          <w:color w:val="000000"/>
          <w:sz w:val="20"/>
          <w:szCs w:val="24"/>
        </w:rPr>
        <w:t xml:space="preserve"> Jin has her expertise in drug pharmacokinetics, drug-drug interactions and </w:t>
      </w:r>
      <w:proofErr w:type="spellStart"/>
      <w:r w:rsidRPr="00E1220D">
        <w:rPr>
          <w:rFonts w:ascii="Times New Roman" w:hAnsi="Times New Roman" w:cs="Times New Roman"/>
          <w:color w:val="000000"/>
          <w:sz w:val="20"/>
          <w:szCs w:val="24"/>
        </w:rPr>
        <w:t>pharmacogenetics</w:t>
      </w:r>
      <w:proofErr w:type="spellEnd"/>
      <w:r w:rsidRPr="00E1220D">
        <w:rPr>
          <w:rFonts w:ascii="Times New Roman" w:hAnsi="Times New Roman" w:cs="Times New Roman"/>
          <w:color w:val="000000"/>
          <w:sz w:val="20"/>
          <w:szCs w:val="24"/>
        </w:rPr>
        <w:t xml:space="preserve"> in promoting safe and rational drug use. Her present studies focus on drug-drug interactions between tyrosine kinase inhibitors and warfarin based on enzymes kinetic study, </w:t>
      </w:r>
      <w:r w:rsidRPr="00E1220D">
        <w:rPr>
          <w:rFonts w:ascii="Times New Roman" w:hAnsi="Times New Roman" w:cs="Times New Roman"/>
          <w:i/>
          <w:color w:val="000000"/>
          <w:sz w:val="20"/>
          <w:szCs w:val="24"/>
        </w:rPr>
        <w:t>in vivo</w:t>
      </w:r>
      <w:r w:rsidRPr="00E1220D">
        <w:rPr>
          <w:rFonts w:ascii="Times New Roman" w:hAnsi="Times New Roman" w:cs="Times New Roman"/>
          <w:color w:val="000000"/>
          <w:sz w:val="20"/>
          <w:szCs w:val="24"/>
        </w:rPr>
        <w:t xml:space="preserve"> study in rats and PBPK modeling. She has recently developed a sensitive and specific chiral liquid chromatography-tandem mass spectrometry method to simultaneously identify warfarin enantiomers and its six warfarin hydroxylation metabolites in rat plasma, which was successfully applied to pharmacokinetic study. Before that, she made a lot of contributions on exploring the mechanism of </w:t>
      </w:r>
      <w:proofErr w:type="spellStart"/>
      <w:r w:rsidRPr="00E1220D">
        <w:rPr>
          <w:rFonts w:ascii="Times New Roman" w:hAnsi="Times New Roman" w:cs="Times New Roman"/>
          <w:color w:val="000000"/>
          <w:sz w:val="20"/>
          <w:szCs w:val="24"/>
        </w:rPr>
        <w:t>methimazole</w:t>
      </w:r>
      <w:proofErr w:type="spellEnd"/>
      <w:r w:rsidRPr="00E1220D">
        <w:rPr>
          <w:rFonts w:ascii="Times New Roman" w:hAnsi="Times New Roman" w:cs="Times New Roman"/>
          <w:color w:val="000000"/>
          <w:sz w:val="20"/>
          <w:szCs w:val="24"/>
        </w:rPr>
        <w:t xml:space="preserve"> induced liver injury using both </w:t>
      </w:r>
      <w:proofErr w:type="spellStart"/>
      <w:r w:rsidRPr="00E1220D">
        <w:rPr>
          <w:rFonts w:ascii="Times New Roman" w:hAnsi="Times New Roman" w:cs="Times New Roman"/>
          <w:color w:val="000000"/>
          <w:sz w:val="20"/>
          <w:szCs w:val="24"/>
        </w:rPr>
        <w:t>pharmacogenetic</w:t>
      </w:r>
      <w:proofErr w:type="spellEnd"/>
      <w:r w:rsidRPr="00E1220D">
        <w:rPr>
          <w:rFonts w:ascii="Times New Roman" w:hAnsi="Times New Roman" w:cs="Times New Roman"/>
          <w:color w:val="000000"/>
          <w:sz w:val="20"/>
          <w:szCs w:val="24"/>
        </w:rPr>
        <w:t xml:space="preserve"> and </w:t>
      </w:r>
      <w:proofErr w:type="spellStart"/>
      <w:r w:rsidRPr="00E1220D">
        <w:rPr>
          <w:rFonts w:ascii="Times New Roman" w:hAnsi="Times New Roman" w:cs="Times New Roman"/>
          <w:color w:val="000000"/>
          <w:sz w:val="20"/>
          <w:szCs w:val="24"/>
        </w:rPr>
        <w:t>metabolomic</w:t>
      </w:r>
      <w:proofErr w:type="spellEnd"/>
      <w:r w:rsidRPr="00E1220D">
        <w:rPr>
          <w:rFonts w:ascii="Times New Roman" w:hAnsi="Times New Roman" w:cs="Times New Roman"/>
          <w:color w:val="000000"/>
          <w:sz w:val="20"/>
          <w:szCs w:val="24"/>
        </w:rPr>
        <w:t xml:space="preserve"> method. </w:t>
      </w:r>
    </w:p>
    <w:sectPr w:rsidR="00CA23C9" w:rsidRPr="00E1220D">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23T12:09:00Z" w:initials="SS">
    <w:p w:rsidR="00F226DB" w:rsidRDefault="00F226DB">
      <w:pPr>
        <w:pStyle w:val="CommentText"/>
      </w:pPr>
      <w:r>
        <w:rPr>
          <w:rStyle w:val="CommentReference"/>
        </w:rPr>
        <w:annotationRef/>
      </w:r>
      <w:r>
        <w:t>Already published. Please find the below links for your reference.</w:t>
      </w:r>
    </w:p>
    <w:p w:rsidR="00F226DB" w:rsidRDefault="00F226DB">
      <w:pPr>
        <w:pStyle w:val="CommentText"/>
      </w:pPr>
    </w:p>
    <w:p w:rsidR="00F226DB" w:rsidRDefault="00F226DB" w:rsidP="00F226DB">
      <w:pPr>
        <w:pStyle w:val="CommentText"/>
        <w:numPr>
          <w:ilvl w:val="0"/>
          <w:numId w:val="1"/>
        </w:numPr>
      </w:pPr>
      <w:hyperlink r:id="rId1" w:history="1">
        <w:r w:rsidRPr="00603F2A">
          <w:rPr>
            <w:rStyle w:val="Hyperlink"/>
          </w:rPr>
          <w:t>https://pubmed.ncbi.nlm.nih.gov/35745714/</w:t>
        </w:r>
      </w:hyperlink>
    </w:p>
    <w:p w:rsidR="00F226DB" w:rsidRDefault="00F226DB" w:rsidP="00F226DB">
      <w:pPr>
        <w:pStyle w:val="CommentText"/>
        <w:numPr>
          <w:ilvl w:val="0"/>
          <w:numId w:val="1"/>
        </w:numPr>
      </w:pPr>
      <w:hyperlink r:id="rId2" w:history="1">
        <w:r w:rsidRPr="00603F2A">
          <w:rPr>
            <w:rStyle w:val="Hyperlink"/>
          </w:rPr>
          <w:t>https://www.mdpi.com/1999-4923/14/6/1141#</w:t>
        </w:r>
      </w:hyperlink>
    </w:p>
    <w:p w:rsidR="00F226DB" w:rsidRDefault="00F226DB" w:rsidP="00F226DB">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DD4261"/>
    <w:multiLevelType w:val="hybridMultilevel"/>
    <w:tmpl w:val="418E3A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23C9"/>
    <w:rsid w:val="000943A0"/>
    <w:rsid w:val="000F7DA0"/>
    <w:rsid w:val="0031188D"/>
    <w:rsid w:val="004A25CE"/>
    <w:rsid w:val="00571880"/>
    <w:rsid w:val="00597381"/>
    <w:rsid w:val="009435B5"/>
    <w:rsid w:val="00CA23C9"/>
    <w:rsid w:val="00D2726A"/>
    <w:rsid w:val="00E1220D"/>
    <w:rsid w:val="00F226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A23C9"/>
    <w:pPr>
      <w:autoSpaceDE w:val="0"/>
      <w:autoSpaceDN w:val="0"/>
      <w:adjustRightInd w:val="0"/>
      <w:spacing w:after="0" w:line="240" w:lineRule="auto"/>
    </w:pPr>
    <w:rPr>
      <w:rFonts w:ascii="Cambria Math" w:hAnsi="Cambria Math" w:cs="Cambria Math"/>
      <w:color w:val="000000"/>
      <w:sz w:val="24"/>
      <w:szCs w:val="24"/>
    </w:rPr>
  </w:style>
  <w:style w:type="paragraph" w:styleId="BalloonText">
    <w:name w:val="Balloon Text"/>
    <w:basedOn w:val="Normal"/>
    <w:link w:val="BalloonTextChar"/>
    <w:uiPriority w:val="99"/>
    <w:semiHidden/>
    <w:unhideWhenUsed/>
    <w:rsid w:val="00CA23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23C9"/>
    <w:rPr>
      <w:rFonts w:ascii="Tahoma" w:hAnsi="Tahoma" w:cs="Tahoma"/>
      <w:sz w:val="16"/>
      <w:szCs w:val="16"/>
    </w:rPr>
  </w:style>
  <w:style w:type="character" w:styleId="CommentReference">
    <w:name w:val="annotation reference"/>
    <w:basedOn w:val="DefaultParagraphFont"/>
    <w:uiPriority w:val="99"/>
    <w:semiHidden/>
    <w:unhideWhenUsed/>
    <w:rsid w:val="00F226DB"/>
    <w:rPr>
      <w:sz w:val="16"/>
      <w:szCs w:val="16"/>
    </w:rPr>
  </w:style>
  <w:style w:type="paragraph" w:styleId="CommentText">
    <w:name w:val="annotation text"/>
    <w:basedOn w:val="Normal"/>
    <w:link w:val="CommentTextChar"/>
    <w:uiPriority w:val="99"/>
    <w:semiHidden/>
    <w:unhideWhenUsed/>
    <w:rsid w:val="00F226DB"/>
    <w:pPr>
      <w:spacing w:line="240" w:lineRule="auto"/>
    </w:pPr>
    <w:rPr>
      <w:sz w:val="20"/>
      <w:szCs w:val="20"/>
    </w:rPr>
  </w:style>
  <w:style w:type="character" w:customStyle="1" w:styleId="CommentTextChar">
    <w:name w:val="Comment Text Char"/>
    <w:basedOn w:val="DefaultParagraphFont"/>
    <w:link w:val="CommentText"/>
    <w:uiPriority w:val="99"/>
    <w:semiHidden/>
    <w:rsid w:val="00F226DB"/>
    <w:rPr>
      <w:sz w:val="20"/>
      <w:szCs w:val="20"/>
    </w:rPr>
  </w:style>
  <w:style w:type="paragraph" w:styleId="CommentSubject">
    <w:name w:val="annotation subject"/>
    <w:basedOn w:val="CommentText"/>
    <w:next w:val="CommentText"/>
    <w:link w:val="CommentSubjectChar"/>
    <w:uiPriority w:val="99"/>
    <w:semiHidden/>
    <w:unhideWhenUsed/>
    <w:rsid w:val="00F226DB"/>
    <w:rPr>
      <w:b/>
      <w:bCs/>
    </w:rPr>
  </w:style>
  <w:style w:type="character" w:customStyle="1" w:styleId="CommentSubjectChar">
    <w:name w:val="Comment Subject Char"/>
    <w:basedOn w:val="CommentTextChar"/>
    <w:link w:val="CommentSubject"/>
    <w:uiPriority w:val="99"/>
    <w:semiHidden/>
    <w:rsid w:val="00F226DB"/>
    <w:rPr>
      <w:b/>
      <w:bCs/>
      <w:sz w:val="20"/>
      <w:szCs w:val="20"/>
    </w:rPr>
  </w:style>
  <w:style w:type="character" w:styleId="Hyperlink">
    <w:name w:val="Hyperlink"/>
    <w:basedOn w:val="DefaultParagraphFont"/>
    <w:uiPriority w:val="99"/>
    <w:unhideWhenUsed/>
    <w:rsid w:val="00F226D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A23C9"/>
    <w:pPr>
      <w:autoSpaceDE w:val="0"/>
      <w:autoSpaceDN w:val="0"/>
      <w:adjustRightInd w:val="0"/>
      <w:spacing w:after="0" w:line="240" w:lineRule="auto"/>
    </w:pPr>
    <w:rPr>
      <w:rFonts w:ascii="Cambria Math" w:hAnsi="Cambria Math" w:cs="Cambria Math"/>
      <w:color w:val="000000"/>
      <w:sz w:val="24"/>
      <w:szCs w:val="24"/>
    </w:rPr>
  </w:style>
  <w:style w:type="paragraph" w:styleId="BalloonText">
    <w:name w:val="Balloon Text"/>
    <w:basedOn w:val="Normal"/>
    <w:link w:val="BalloonTextChar"/>
    <w:uiPriority w:val="99"/>
    <w:semiHidden/>
    <w:unhideWhenUsed/>
    <w:rsid w:val="00CA23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23C9"/>
    <w:rPr>
      <w:rFonts w:ascii="Tahoma" w:hAnsi="Tahoma" w:cs="Tahoma"/>
      <w:sz w:val="16"/>
      <w:szCs w:val="16"/>
    </w:rPr>
  </w:style>
  <w:style w:type="character" w:styleId="CommentReference">
    <w:name w:val="annotation reference"/>
    <w:basedOn w:val="DefaultParagraphFont"/>
    <w:uiPriority w:val="99"/>
    <w:semiHidden/>
    <w:unhideWhenUsed/>
    <w:rsid w:val="00F226DB"/>
    <w:rPr>
      <w:sz w:val="16"/>
      <w:szCs w:val="16"/>
    </w:rPr>
  </w:style>
  <w:style w:type="paragraph" w:styleId="CommentText">
    <w:name w:val="annotation text"/>
    <w:basedOn w:val="Normal"/>
    <w:link w:val="CommentTextChar"/>
    <w:uiPriority w:val="99"/>
    <w:semiHidden/>
    <w:unhideWhenUsed/>
    <w:rsid w:val="00F226DB"/>
    <w:pPr>
      <w:spacing w:line="240" w:lineRule="auto"/>
    </w:pPr>
    <w:rPr>
      <w:sz w:val="20"/>
      <w:szCs w:val="20"/>
    </w:rPr>
  </w:style>
  <w:style w:type="character" w:customStyle="1" w:styleId="CommentTextChar">
    <w:name w:val="Comment Text Char"/>
    <w:basedOn w:val="DefaultParagraphFont"/>
    <w:link w:val="CommentText"/>
    <w:uiPriority w:val="99"/>
    <w:semiHidden/>
    <w:rsid w:val="00F226DB"/>
    <w:rPr>
      <w:sz w:val="20"/>
      <w:szCs w:val="20"/>
    </w:rPr>
  </w:style>
  <w:style w:type="paragraph" w:styleId="CommentSubject">
    <w:name w:val="annotation subject"/>
    <w:basedOn w:val="CommentText"/>
    <w:next w:val="CommentText"/>
    <w:link w:val="CommentSubjectChar"/>
    <w:uiPriority w:val="99"/>
    <w:semiHidden/>
    <w:unhideWhenUsed/>
    <w:rsid w:val="00F226DB"/>
    <w:rPr>
      <w:b/>
      <w:bCs/>
    </w:rPr>
  </w:style>
  <w:style w:type="character" w:customStyle="1" w:styleId="CommentSubjectChar">
    <w:name w:val="Comment Subject Char"/>
    <w:basedOn w:val="CommentTextChar"/>
    <w:link w:val="CommentSubject"/>
    <w:uiPriority w:val="99"/>
    <w:semiHidden/>
    <w:rsid w:val="00F226DB"/>
    <w:rPr>
      <w:b/>
      <w:bCs/>
      <w:sz w:val="20"/>
      <w:szCs w:val="20"/>
    </w:rPr>
  </w:style>
  <w:style w:type="character" w:styleId="Hyperlink">
    <w:name w:val="Hyperlink"/>
    <w:basedOn w:val="DefaultParagraphFont"/>
    <w:uiPriority w:val="99"/>
    <w:unhideWhenUsed/>
    <w:rsid w:val="00F226D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mdpi.com/1999-4923/14/6/1141#" TargetMode="External"/><Relationship Id="rId1" Type="http://schemas.openxmlformats.org/officeDocument/2006/relationships/hyperlink" Target="https://pubmed.ncbi.nlm.nih.gov/35745714/" TargetMode="External"/></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454</Words>
  <Characters>2591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Ravali Mudigiri</dc:creator>
  <cp:lastModifiedBy>Swetha Sandala</cp:lastModifiedBy>
  <cp:revision>8</cp:revision>
  <dcterms:created xsi:type="dcterms:W3CDTF">2022-07-23T05:46:00Z</dcterms:created>
  <dcterms:modified xsi:type="dcterms:W3CDTF">2022-07-23T06:39:00Z</dcterms:modified>
</cp:coreProperties>
</file>