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015068">
      <w:pPr>
        <w:rPr>
          <w:rFonts w:ascii="Times New Roman" w:hAnsi="Times New Roman" w:cs="Times New Roman"/>
          <w:b/>
          <w:sz w:val="32"/>
        </w:rPr>
      </w:pPr>
      <w:bookmarkStart w:id="0" w:name="_GoBack"/>
      <w:r w:rsidRPr="00015068">
        <w:rPr>
          <w:rFonts w:ascii="Times New Roman" w:hAnsi="Times New Roman" w:cs="Times New Roman"/>
          <w:b/>
          <w:sz w:val="32"/>
        </w:rPr>
        <w:t>Breaking rules to develop antiviral drug candidates for small DNA tumor viruses and (-) strand RNA viruses</w:t>
      </w:r>
    </w:p>
    <w:p w:rsidR="00015068" w:rsidRPr="00015068" w:rsidRDefault="00015068" w:rsidP="00015068">
      <w:pPr>
        <w:rPr>
          <w:rFonts w:ascii="Times New Roman" w:hAnsi="Times New Roman" w:cs="Times New Roman"/>
          <w:sz w:val="24"/>
        </w:rPr>
      </w:pPr>
      <w:r w:rsidRPr="00015068">
        <w:rPr>
          <w:rFonts w:ascii="Times New Roman" w:hAnsi="Times New Roman" w:cs="Times New Roman"/>
          <w:sz w:val="24"/>
        </w:rPr>
        <w:t xml:space="preserve">James K. </w:t>
      </w:r>
      <w:proofErr w:type="spellStart"/>
      <w:r w:rsidRPr="00015068">
        <w:rPr>
          <w:rFonts w:ascii="Times New Roman" w:hAnsi="Times New Roman" w:cs="Times New Roman"/>
          <w:sz w:val="24"/>
        </w:rPr>
        <w:t>Bashkin</w:t>
      </w:r>
      <w:proofErr w:type="spellEnd"/>
    </w:p>
    <w:p w:rsidR="00015068" w:rsidRPr="00015068" w:rsidRDefault="00015068" w:rsidP="00015068">
      <w:pPr>
        <w:rPr>
          <w:rFonts w:ascii="Times New Roman" w:hAnsi="Times New Roman" w:cs="Times New Roman"/>
        </w:rPr>
      </w:pPr>
      <w:r w:rsidRPr="00015068">
        <w:rPr>
          <w:rFonts w:ascii="Times New Roman" w:hAnsi="Times New Roman" w:cs="Times New Roman"/>
        </w:rPr>
        <w:t xml:space="preserve">University of Missouri, </w:t>
      </w:r>
      <w:r w:rsidRPr="00015068">
        <w:rPr>
          <w:rFonts w:ascii="Times New Roman" w:hAnsi="Times New Roman" w:cs="Times New Roman"/>
        </w:rPr>
        <w:t>Saint Louis</w:t>
      </w:r>
    </w:p>
    <w:p w:rsidR="00015068" w:rsidRPr="00015068" w:rsidRDefault="00015068" w:rsidP="00015068">
      <w:pPr>
        <w:jc w:val="center"/>
        <w:rPr>
          <w:rFonts w:ascii="Times New Roman" w:hAnsi="Times New Roman" w:cs="Times New Roman"/>
          <w:b/>
          <w:sz w:val="24"/>
        </w:rPr>
      </w:pPr>
      <w:r w:rsidRPr="00015068">
        <w:rPr>
          <w:rFonts w:ascii="Times New Roman" w:hAnsi="Times New Roman" w:cs="Times New Roman"/>
          <w:b/>
          <w:sz w:val="24"/>
        </w:rPr>
        <w:t>Abstract</w:t>
      </w:r>
    </w:p>
    <w:p w:rsidR="00015068" w:rsidRPr="00015068" w:rsidRDefault="00015068" w:rsidP="00015068">
      <w:pPr>
        <w:jc w:val="both"/>
        <w:rPr>
          <w:rFonts w:ascii="Times New Roman" w:hAnsi="Times New Roman" w:cs="Times New Roman"/>
          <w:sz w:val="20"/>
        </w:rPr>
      </w:pPr>
      <w:r w:rsidRPr="00015068">
        <w:rPr>
          <w:rFonts w:ascii="Times New Roman" w:hAnsi="Times New Roman" w:cs="Times New Roman"/>
          <w:sz w:val="20"/>
        </w:rPr>
        <w:t>T</w:t>
      </w:r>
      <w:r w:rsidRPr="00015068">
        <w:rPr>
          <w:rFonts w:ascii="Times New Roman" w:hAnsi="Times New Roman" w:cs="Times New Roman"/>
          <w:sz w:val="20"/>
        </w:rPr>
        <w:t>he current study investigates</w:t>
      </w:r>
      <w:r w:rsidRPr="00015068">
        <w:rPr>
          <w:rFonts w:ascii="Times New Roman" w:hAnsi="Times New Roman" w:cs="Times New Roman"/>
          <w:sz w:val="20"/>
        </w:rPr>
        <w:t xml:space="preserve"> </w:t>
      </w:r>
      <w:r w:rsidRPr="00015068">
        <w:rPr>
          <w:rFonts w:ascii="Times New Roman" w:hAnsi="Times New Roman" w:cs="Times New Roman"/>
          <w:sz w:val="20"/>
        </w:rPr>
        <w:t>the</w:t>
      </w:r>
      <w:r>
        <w:rPr>
          <w:rFonts w:ascii="Times New Roman" w:hAnsi="Times New Roman" w:cs="Times New Roman"/>
          <w:sz w:val="20"/>
        </w:rPr>
        <w:t xml:space="preserve"> </w:t>
      </w:r>
      <w:r w:rsidRPr="00015068">
        <w:rPr>
          <w:rFonts w:ascii="Times New Roman" w:hAnsi="Times New Roman" w:cs="Times New Roman"/>
          <w:sz w:val="20"/>
        </w:rPr>
        <w:t>application</w:t>
      </w:r>
      <w:r>
        <w:rPr>
          <w:rFonts w:ascii="Times New Roman" w:hAnsi="Times New Roman" w:cs="Times New Roman"/>
          <w:sz w:val="20"/>
        </w:rPr>
        <w:t xml:space="preserve"> </w:t>
      </w:r>
      <w:r w:rsidRPr="00015068">
        <w:rPr>
          <w:rFonts w:ascii="Times New Roman" w:hAnsi="Times New Roman" w:cs="Times New Roman"/>
          <w:sz w:val="20"/>
        </w:rPr>
        <w:t>of</w:t>
      </w:r>
      <w:r>
        <w:rPr>
          <w:rFonts w:ascii="Times New Roman" w:hAnsi="Times New Roman" w:cs="Times New Roman"/>
          <w:sz w:val="20"/>
        </w:rPr>
        <w:t xml:space="preserve"> </w:t>
      </w:r>
      <w:proofErr w:type="spellStart"/>
      <w:r w:rsidRPr="00015068">
        <w:rPr>
          <w:rFonts w:ascii="Times New Roman" w:hAnsi="Times New Roman" w:cs="Times New Roman"/>
          <w:sz w:val="20"/>
        </w:rPr>
        <w:t>pyrrole</w:t>
      </w:r>
      <w:proofErr w:type="spellEnd"/>
      <w:r w:rsidRPr="00015068">
        <w:rPr>
          <w:rFonts w:ascii="Times New Roman" w:hAnsi="Times New Roman" w:cs="Times New Roman"/>
          <w:sz w:val="20"/>
        </w:rPr>
        <w:t xml:space="preserve">-imidazole polyamides to fighting viral diseases in cell and tissue culture. We first reported the use of polyamides against high-risk </w:t>
      </w:r>
      <w:r w:rsidRPr="00015068">
        <w:rPr>
          <w:rFonts w:ascii="Times New Roman" w:hAnsi="Times New Roman" w:cs="Times New Roman"/>
          <w:sz w:val="20"/>
        </w:rPr>
        <w:t>Human Papilloma</w:t>
      </w:r>
      <w:r>
        <w:rPr>
          <w:rFonts w:ascii="Times New Roman" w:hAnsi="Times New Roman" w:cs="Times New Roman"/>
          <w:sz w:val="20"/>
        </w:rPr>
        <w:t xml:space="preserve"> </w:t>
      </w:r>
      <w:r w:rsidRPr="00015068">
        <w:rPr>
          <w:rFonts w:ascii="Times New Roman" w:hAnsi="Times New Roman" w:cs="Times New Roman"/>
          <w:sz w:val="20"/>
        </w:rPr>
        <w:t xml:space="preserve">Virus </w:t>
      </w:r>
      <w:r>
        <w:rPr>
          <w:rFonts w:ascii="Times New Roman" w:hAnsi="Times New Roman" w:cs="Times New Roman"/>
          <w:sz w:val="20"/>
        </w:rPr>
        <w:t>(HPV) types 16</w:t>
      </w:r>
      <w:proofErr w:type="gramStart"/>
      <w:r>
        <w:rPr>
          <w:rFonts w:ascii="Times New Roman" w:hAnsi="Times New Roman" w:cs="Times New Roman"/>
          <w:sz w:val="20"/>
        </w:rPr>
        <w:t>,</w:t>
      </w:r>
      <w:r w:rsidRPr="00015068">
        <w:rPr>
          <w:rFonts w:ascii="Times New Roman" w:hAnsi="Times New Roman" w:cs="Times New Roman"/>
          <w:sz w:val="20"/>
        </w:rPr>
        <w:t>18</w:t>
      </w:r>
      <w:proofErr w:type="gramEnd"/>
      <w:r w:rsidRPr="00015068">
        <w:rPr>
          <w:rFonts w:ascii="Times New Roman" w:hAnsi="Times New Roman" w:cs="Times New Roman"/>
          <w:sz w:val="20"/>
        </w:rPr>
        <w:t xml:space="preserve"> and 31 in 2011. A previous report on repressing latency of HIV with polyamides had appeared from the </w:t>
      </w:r>
      <w:proofErr w:type="spellStart"/>
      <w:r w:rsidRPr="00015068">
        <w:rPr>
          <w:rFonts w:ascii="Times New Roman" w:hAnsi="Times New Roman" w:cs="Times New Roman"/>
          <w:sz w:val="20"/>
        </w:rPr>
        <w:t>Dervan</w:t>
      </w:r>
      <w:proofErr w:type="spellEnd"/>
      <w:r w:rsidRPr="00015068">
        <w:rPr>
          <w:rFonts w:ascii="Times New Roman" w:hAnsi="Times New Roman" w:cs="Times New Roman"/>
          <w:sz w:val="20"/>
        </w:rPr>
        <w:t xml:space="preserve"> group in 2004, while inhibition of Maloney murine leukemia virus integration with the same class of molecules was reported the previous year, and so-called "paradoxical effects," meaning the authors did not understand their observations, were reported in for effects of polyamides on HLTV-1 transcription by the same group in 2004. Through extensive molecular biology and biophysical studies (with Professor Cynthia M. </w:t>
      </w:r>
      <w:proofErr w:type="spellStart"/>
      <w:r w:rsidRPr="00015068">
        <w:rPr>
          <w:rFonts w:ascii="Times New Roman" w:hAnsi="Times New Roman" w:cs="Times New Roman"/>
          <w:sz w:val="20"/>
        </w:rPr>
        <w:t>Dupureur</w:t>
      </w:r>
      <w:proofErr w:type="spellEnd"/>
      <w:r w:rsidRPr="00015068">
        <w:rPr>
          <w:rFonts w:ascii="Times New Roman" w:hAnsi="Times New Roman" w:cs="Times New Roman"/>
          <w:sz w:val="20"/>
        </w:rPr>
        <w:t xml:space="preserve"> and group), we have explained the "paradoxical effects" and find these rule-breaking effects to be the basis</w:t>
      </w:r>
      <w:r w:rsidRPr="00015068">
        <w:rPr>
          <w:rFonts w:ascii="Times New Roman" w:hAnsi="Times New Roman" w:cs="Times New Roman"/>
          <w:sz w:val="20"/>
        </w:rPr>
        <w:t xml:space="preserve"> </w:t>
      </w:r>
      <w:r w:rsidRPr="00015068">
        <w:rPr>
          <w:rFonts w:ascii="Times New Roman" w:hAnsi="Times New Roman" w:cs="Times New Roman"/>
          <w:sz w:val="20"/>
        </w:rPr>
        <w:t xml:space="preserve">of our observed antiviral activity. We have shown the "rules" for DNA recognition by polyamides reported so widely by </w:t>
      </w:r>
      <w:proofErr w:type="spellStart"/>
      <w:r w:rsidRPr="00015068">
        <w:rPr>
          <w:rFonts w:ascii="Times New Roman" w:hAnsi="Times New Roman" w:cs="Times New Roman"/>
          <w:sz w:val="20"/>
        </w:rPr>
        <w:t>Dervan</w:t>
      </w:r>
      <w:proofErr w:type="spellEnd"/>
      <w:r w:rsidRPr="00015068">
        <w:rPr>
          <w:rFonts w:ascii="Times New Roman" w:hAnsi="Times New Roman" w:cs="Times New Roman"/>
          <w:sz w:val="20"/>
        </w:rPr>
        <w:t xml:space="preserve"> et al. do not apply to longer molecules, where enthalpy plays no role in the free energy of binding, and entropy likely</w:t>
      </w:r>
      <w:r>
        <w:rPr>
          <w:rFonts w:ascii="Times New Roman" w:hAnsi="Times New Roman" w:cs="Times New Roman"/>
          <w:sz w:val="20"/>
        </w:rPr>
        <w:t xml:space="preserve"> associated </w:t>
      </w:r>
      <w:r w:rsidRPr="00015068">
        <w:rPr>
          <w:rFonts w:ascii="Times New Roman" w:hAnsi="Times New Roman" w:cs="Times New Roman"/>
          <w:sz w:val="20"/>
        </w:rPr>
        <w:t xml:space="preserve">with </w:t>
      </w:r>
      <w:proofErr w:type="spellStart"/>
      <w:r w:rsidRPr="00015068">
        <w:rPr>
          <w:rFonts w:ascii="Times New Roman" w:hAnsi="Times New Roman" w:cs="Times New Roman"/>
          <w:sz w:val="20"/>
        </w:rPr>
        <w:t>deaggregation</w:t>
      </w:r>
      <w:proofErr w:type="spellEnd"/>
      <w:r w:rsidRPr="00015068">
        <w:rPr>
          <w:rFonts w:ascii="Times New Roman" w:hAnsi="Times New Roman" w:cs="Times New Roman"/>
          <w:sz w:val="20"/>
        </w:rPr>
        <w:t xml:space="preserve"> of polyamides is the determining</w:t>
      </w:r>
      <w:r>
        <w:rPr>
          <w:rFonts w:ascii="Times New Roman" w:hAnsi="Times New Roman" w:cs="Times New Roman"/>
          <w:sz w:val="20"/>
        </w:rPr>
        <w:t xml:space="preserve"> factor in providing favorable, </w:t>
      </w:r>
      <w:r w:rsidRPr="00015068">
        <w:rPr>
          <w:rFonts w:ascii="Times New Roman" w:hAnsi="Times New Roman" w:cs="Times New Roman"/>
          <w:sz w:val="20"/>
        </w:rPr>
        <w:t>negative</w:t>
      </w:r>
      <w:r>
        <w:rPr>
          <w:rFonts w:ascii="Times New Roman" w:hAnsi="Times New Roman" w:cs="Times New Roman"/>
          <w:sz w:val="20"/>
        </w:rPr>
        <w:t xml:space="preserve"> </w:t>
      </w:r>
      <w:r w:rsidRPr="00015068">
        <w:rPr>
          <w:rFonts w:ascii="Times New Roman" w:hAnsi="Times New Roman" w:cs="Times New Roman"/>
          <w:sz w:val="20"/>
        </w:rPr>
        <w:t>Gibbs</w:t>
      </w:r>
      <w:r>
        <w:rPr>
          <w:rFonts w:ascii="Times New Roman" w:hAnsi="Times New Roman" w:cs="Times New Roman"/>
          <w:sz w:val="20"/>
        </w:rPr>
        <w:t xml:space="preserve"> </w:t>
      </w:r>
      <w:r w:rsidRPr="00015068">
        <w:rPr>
          <w:rFonts w:ascii="Times New Roman" w:hAnsi="Times New Roman" w:cs="Times New Roman"/>
          <w:sz w:val="20"/>
        </w:rPr>
        <w:t>f</w:t>
      </w:r>
      <w:r>
        <w:rPr>
          <w:rFonts w:ascii="Times New Roman" w:hAnsi="Times New Roman" w:cs="Times New Roman"/>
          <w:sz w:val="20"/>
        </w:rPr>
        <w:t xml:space="preserve">ree energies of binding. </w:t>
      </w:r>
      <w:r w:rsidRPr="00015068">
        <w:rPr>
          <w:rFonts w:ascii="Times New Roman" w:hAnsi="Times New Roman" w:cs="Times New Roman"/>
          <w:sz w:val="20"/>
        </w:rPr>
        <w:t xml:space="preserve">This </w:t>
      </w:r>
      <w:proofErr w:type="spellStart"/>
      <w:r w:rsidRPr="00015068">
        <w:rPr>
          <w:rFonts w:ascii="Times New Roman" w:hAnsi="Times New Roman" w:cs="Times New Roman"/>
          <w:sz w:val="20"/>
        </w:rPr>
        <w:t>deaggregation</w:t>
      </w:r>
      <w:proofErr w:type="spellEnd"/>
      <w:r w:rsidRPr="00015068">
        <w:rPr>
          <w:rFonts w:ascii="Times New Roman" w:hAnsi="Times New Roman" w:cs="Times New Roman"/>
          <w:sz w:val="20"/>
        </w:rPr>
        <w:t xml:space="preserve"> appears to be aided by increasing the positive charge on both the C- and N-termini of polyamides, resulting in improved antiviral parameters (</w:t>
      </w:r>
      <w:r w:rsidRPr="00015068">
        <w:rPr>
          <w:rFonts w:ascii="Times New Roman" w:hAnsi="Times New Roman" w:cs="Times New Roman"/>
          <w:i/>
          <w:sz w:val="20"/>
        </w:rPr>
        <w:t>IC</w:t>
      </w:r>
      <w:r w:rsidRPr="00015068">
        <w:rPr>
          <w:rFonts w:ascii="Times New Roman" w:hAnsi="Times New Roman" w:cs="Times New Roman"/>
          <w:i/>
          <w:sz w:val="20"/>
          <w:vertAlign w:val="subscript"/>
        </w:rPr>
        <w:t>50</w:t>
      </w:r>
      <w:r w:rsidRPr="00015068">
        <w:rPr>
          <w:rFonts w:ascii="Times New Roman" w:hAnsi="Times New Roman" w:cs="Times New Roman"/>
          <w:sz w:val="20"/>
        </w:rPr>
        <w:t xml:space="preserve"> and </w:t>
      </w:r>
      <w:r w:rsidRPr="00015068">
        <w:rPr>
          <w:rFonts w:ascii="Times New Roman" w:hAnsi="Times New Roman" w:cs="Times New Roman"/>
          <w:i/>
          <w:sz w:val="20"/>
        </w:rPr>
        <w:t>IC</w:t>
      </w:r>
      <w:r w:rsidRPr="00015068">
        <w:rPr>
          <w:rFonts w:ascii="Times New Roman" w:hAnsi="Times New Roman" w:cs="Times New Roman"/>
          <w:i/>
          <w:sz w:val="20"/>
          <w:vertAlign w:val="subscript"/>
        </w:rPr>
        <w:t>90</w:t>
      </w:r>
      <w:r>
        <w:rPr>
          <w:rFonts w:ascii="Times New Roman" w:hAnsi="Times New Roman" w:cs="Times New Roman"/>
          <w:sz w:val="20"/>
        </w:rPr>
        <w:t xml:space="preserve">) and </w:t>
      </w:r>
      <w:r w:rsidRPr="00015068">
        <w:rPr>
          <w:rFonts w:ascii="Times New Roman" w:hAnsi="Times New Roman" w:cs="Times New Roman"/>
          <w:sz w:val="20"/>
        </w:rPr>
        <w:t>improved</w:t>
      </w:r>
      <w:r>
        <w:rPr>
          <w:rFonts w:ascii="Times New Roman" w:hAnsi="Times New Roman" w:cs="Times New Roman"/>
          <w:sz w:val="20"/>
        </w:rPr>
        <w:t xml:space="preserve"> </w:t>
      </w:r>
      <w:r w:rsidRPr="00015068">
        <w:rPr>
          <w:rFonts w:ascii="Times New Roman" w:hAnsi="Times New Roman" w:cs="Times New Roman"/>
          <w:sz w:val="20"/>
        </w:rPr>
        <w:t>thermodynamic binding parameters such as the dissociation</w:t>
      </w:r>
      <w:r w:rsidRPr="00015068">
        <w:rPr>
          <w:rFonts w:ascii="Times New Roman" w:hAnsi="Times New Roman" w:cs="Times New Roman"/>
          <w:sz w:val="20"/>
        </w:rPr>
        <w:tab/>
        <w:t>constants.</w:t>
      </w:r>
      <w:r>
        <w:rPr>
          <w:rFonts w:ascii="Times New Roman" w:hAnsi="Times New Roman" w:cs="Times New Roman"/>
          <w:sz w:val="20"/>
        </w:rPr>
        <w:t xml:space="preserve"> We </w:t>
      </w:r>
      <w:r w:rsidRPr="00015068">
        <w:rPr>
          <w:rFonts w:ascii="Times New Roman" w:hAnsi="Times New Roman" w:cs="Times New Roman"/>
          <w:sz w:val="20"/>
        </w:rPr>
        <w:t xml:space="preserve">now have </w:t>
      </w:r>
      <w:r w:rsidRPr="00015068">
        <w:rPr>
          <w:rFonts w:ascii="Times New Roman" w:hAnsi="Times New Roman" w:cs="Times New Roman"/>
          <w:i/>
          <w:sz w:val="20"/>
        </w:rPr>
        <w:t>IC</w:t>
      </w:r>
      <w:r w:rsidRPr="00015068">
        <w:rPr>
          <w:rFonts w:ascii="Times New Roman" w:hAnsi="Times New Roman" w:cs="Times New Roman"/>
          <w:i/>
          <w:sz w:val="20"/>
          <w:vertAlign w:val="subscript"/>
        </w:rPr>
        <w:t>50</w:t>
      </w:r>
      <w:r w:rsidRPr="00015068">
        <w:rPr>
          <w:rFonts w:ascii="Times New Roman" w:hAnsi="Times New Roman" w:cs="Times New Roman"/>
          <w:sz w:val="20"/>
        </w:rPr>
        <w:t xml:space="preserve"> values as low as 8-13 </w:t>
      </w:r>
      <w:proofErr w:type="spellStart"/>
      <w:r w:rsidRPr="00015068">
        <w:rPr>
          <w:rFonts w:ascii="Times New Roman" w:hAnsi="Times New Roman" w:cs="Times New Roman"/>
          <w:sz w:val="20"/>
        </w:rPr>
        <w:t>nM</w:t>
      </w:r>
      <w:proofErr w:type="spellEnd"/>
      <w:r w:rsidRPr="00015068">
        <w:rPr>
          <w:rFonts w:ascii="Times New Roman" w:hAnsi="Times New Roman" w:cs="Times New Roman"/>
          <w:sz w:val="20"/>
        </w:rPr>
        <w:t>.</w:t>
      </w:r>
    </w:p>
    <w:p w:rsidR="00015068" w:rsidRPr="00015068" w:rsidRDefault="00015068" w:rsidP="00015068">
      <w:pPr>
        <w:jc w:val="both"/>
        <w:rPr>
          <w:rFonts w:ascii="Times New Roman" w:hAnsi="Times New Roman" w:cs="Times New Roman"/>
          <w:sz w:val="20"/>
        </w:rPr>
      </w:pPr>
      <w:r w:rsidRPr="00015068">
        <w:rPr>
          <w:rFonts w:ascii="Times New Roman" w:hAnsi="Times New Roman" w:cs="Times New Roman"/>
          <w:sz w:val="20"/>
        </w:rPr>
        <w:t>Of interest to medicinal and pharmaceutical chemists, our polyamides were predicted by many to be incapable of entry into</w:t>
      </w:r>
      <w:r w:rsidRPr="00015068">
        <w:rPr>
          <w:rFonts w:ascii="Times New Roman" w:hAnsi="Times New Roman" w:cs="Times New Roman"/>
          <w:sz w:val="20"/>
        </w:rPr>
        <w:t xml:space="preserve"> </w:t>
      </w:r>
      <w:r w:rsidRPr="00015068">
        <w:rPr>
          <w:rFonts w:ascii="Times New Roman" w:hAnsi="Times New Roman" w:cs="Times New Roman"/>
          <w:sz w:val="20"/>
        </w:rPr>
        <w:t xml:space="preserve">cells. However, the opposite is usually the case, and active uptake is often the reason, though we have not identified the specific uptake mechanism yet. Uptake into some cells is extremely effective, including essentially primary </w:t>
      </w:r>
      <w:proofErr w:type="spellStart"/>
      <w:r w:rsidRPr="00015068">
        <w:rPr>
          <w:rFonts w:ascii="Times New Roman" w:hAnsi="Times New Roman" w:cs="Times New Roman"/>
          <w:sz w:val="20"/>
        </w:rPr>
        <w:t>keratinocytyes</w:t>
      </w:r>
      <w:proofErr w:type="spellEnd"/>
      <w:r w:rsidRPr="00015068">
        <w:rPr>
          <w:rFonts w:ascii="Times New Roman" w:hAnsi="Times New Roman" w:cs="Times New Roman"/>
          <w:sz w:val="20"/>
        </w:rPr>
        <w:t xml:space="preserve"> infected with </w:t>
      </w:r>
      <w:proofErr w:type="spellStart"/>
      <w:r w:rsidRPr="00015068">
        <w:rPr>
          <w:rFonts w:ascii="Times New Roman" w:hAnsi="Times New Roman" w:cs="Times New Roman"/>
          <w:sz w:val="20"/>
        </w:rPr>
        <w:t>episomal</w:t>
      </w:r>
      <w:proofErr w:type="spellEnd"/>
      <w:r w:rsidRPr="00015068">
        <w:rPr>
          <w:rFonts w:ascii="Times New Roman" w:hAnsi="Times New Roman" w:cs="Times New Roman"/>
          <w:sz w:val="20"/>
        </w:rPr>
        <w:t xml:space="preserve"> HPV. Another example is a range of blood cells: iv pharmacokinetics are hampered by the immediate uptake of compounds into blood cells, leaving none in the plasma to be measured and making bioavailability, by definition, zero, even though the blood cells transport the compounds to internal organs such as bone marrow, liver, and spleen.</w:t>
      </w:r>
    </w:p>
    <w:p w:rsidR="00015068" w:rsidRPr="00015068" w:rsidRDefault="00015068" w:rsidP="00015068">
      <w:pPr>
        <w:jc w:val="both"/>
        <w:rPr>
          <w:rFonts w:ascii="Times New Roman" w:hAnsi="Times New Roman" w:cs="Times New Roman"/>
          <w:sz w:val="20"/>
        </w:rPr>
      </w:pPr>
      <w:r w:rsidRPr="00015068">
        <w:rPr>
          <w:rFonts w:ascii="Times New Roman" w:hAnsi="Times New Roman" w:cs="Times New Roman"/>
          <w:b/>
          <w:sz w:val="20"/>
        </w:rPr>
        <w:t>Concl</w:t>
      </w:r>
      <w:r w:rsidRPr="00015068">
        <w:rPr>
          <w:rFonts w:ascii="Times New Roman" w:hAnsi="Times New Roman" w:cs="Times New Roman"/>
          <w:b/>
          <w:sz w:val="20"/>
        </w:rPr>
        <w:t>usion:</w:t>
      </w:r>
      <w:r>
        <w:rPr>
          <w:rFonts w:ascii="Times New Roman" w:hAnsi="Times New Roman" w:cs="Times New Roman"/>
          <w:sz w:val="20"/>
        </w:rPr>
        <w:t xml:space="preserve"> </w:t>
      </w:r>
      <w:r w:rsidRPr="00015068">
        <w:rPr>
          <w:rFonts w:ascii="Times New Roman" w:hAnsi="Times New Roman" w:cs="Times New Roman"/>
          <w:sz w:val="20"/>
        </w:rPr>
        <w:t>It can be extremely important to ignore "rules" of science and medicinal chemistry and simply carry out experiments to see the results. Even highly flawed prior literature can inspire effective strategies for drug discovery.</w:t>
      </w:r>
    </w:p>
    <w:p w:rsidR="00015068" w:rsidRDefault="00015068" w:rsidP="00015068">
      <w:pPr>
        <w:jc w:val="both"/>
        <w:rPr>
          <w:rFonts w:ascii="Times New Roman" w:hAnsi="Times New Roman" w:cs="Times New Roman"/>
          <w:sz w:val="20"/>
        </w:rPr>
      </w:pPr>
      <w:r w:rsidRPr="00015068">
        <w:rPr>
          <w:rFonts w:ascii="Times New Roman" w:hAnsi="Times New Roman" w:cs="Times New Roman"/>
          <w:sz w:val="20"/>
        </w:rPr>
        <w:t>However, novel molecular structures may require additional creativity in the formulation and drug delivery aspects of drug development. We even found activity against Vesicular Stomatitis Virus (VSV) shortly after the two most prominent groups reported poor polyamide-RNA interactions. Their data were not wrong, but they failed to account for the range of RNA structures found in RNA genomes, which go far beyond the</w:t>
      </w:r>
      <w:r w:rsidRPr="00015068">
        <w:rPr>
          <w:rFonts w:ascii="Times New Roman" w:hAnsi="Times New Roman" w:cs="Times New Roman"/>
          <w:sz w:val="20"/>
        </w:rPr>
        <w:t xml:space="preserve"> </w:t>
      </w:r>
      <w:r w:rsidRPr="00015068">
        <w:rPr>
          <w:rFonts w:ascii="Times New Roman" w:hAnsi="Times New Roman" w:cs="Times New Roman"/>
          <w:sz w:val="20"/>
        </w:rPr>
        <w:t>A-form helix of double-stranded RNA.</w:t>
      </w:r>
    </w:p>
    <w:p w:rsidR="00015068" w:rsidRPr="00015068" w:rsidRDefault="00015068" w:rsidP="00015068">
      <w:pPr>
        <w:rPr>
          <w:rFonts w:ascii="Times New Roman" w:hAnsi="Times New Roman" w:cs="Times New Roman"/>
          <w:b/>
          <w:sz w:val="24"/>
        </w:rPr>
      </w:pPr>
      <w:r w:rsidRPr="00015068">
        <w:rPr>
          <w:rFonts w:ascii="Times New Roman" w:hAnsi="Times New Roman" w:cs="Times New Roman"/>
          <w:b/>
          <w:sz w:val="24"/>
        </w:rPr>
        <w:t>Biography</w:t>
      </w:r>
    </w:p>
    <w:p w:rsidR="00015068" w:rsidRPr="00015068" w:rsidRDefault="00015068" w:rsidP="00015068">
      <w:pPr>
        <w:jc w:val="both"/>
        <w:rPr>
          <w:rFonts w:ascii="Times New Roman" w:hAnsi="Times New Roman" w:cs="Times New Roman"/>
          <w:b/>
          <w:sz w:val="32"/>
        </w:rPr>
      </w:pPr>
      <w:r w:rsidRPr="00015068">
        <w:rPr>
          <w:rFonts w:ascii="Times New Roman" w:hAnsi="Times New Roman" w:cs="Times New Roman"/>
          <w:sz w:val="20"/>
        </w:rPr>
        <w:t xml:space="preserve">James </w:t>
      </w:r>
      <w:proofErr w:type="spellStart"/>
      <w:r w:rsidRPr="00015068">
        <w:rPr>
          <w:rFonts w:ascii="Times New Roman" w:hAnsi="Times New Roman" w:cs="Times New Roman"/>
          <w:sz w:val="20"/>
        </w:rPr>
        <w:t>Bashkin</w:t>
      </w:r>
      <w:proofErr w:type="spellEnd"/>
      <w:r w:rsidRPr="00015068">
        <w:rPr>
          <w:rFonts w:ascii="Times New Roman" w:hAnsi="Times New Roman" w:cs="Times New Roman"/>
          <w:sz w:val="20"/>
        </w:rPr>
        <w:t xml:space="preserve">, D.Phil. was born in Iowa City, Iowa. He started as a Biology student at the University of Arizona and graduated from the University of </w:t>
      </w:r>
      <w:proofErr w:type="spellStart"/>
      <w:r w:rsidRPr="00015068">
        <w:rPr>
          <w:rFonts w:ascii="Times New Roman" w:hAnsi="Times New Roman" w:cs="Times New Roman"/>
          <w:sz w:val="20"/>
        </w:rPr>
        <w:t>Calfornia</w:t>
      </w:r>
      <w:proofErr w:type="spellEnd"/>
      <w:r w:rsidRPr="00015068">
        <w:rPr>
          <w:rFonts w:ascii="Times New Roman" w:hAnsi="Times New Roman" w:cs="Times New Roman"/>
          <w:sz w:val="20"/>
        </w:rPr>
        <w:t xml:space="preserve">-Irvine with a Chemistry degree in 1977, whereupon he enrolled in the doctoral program at the University </w:t>
      </w:r>
      <w:proofErr w:type="gramStart"/>
      <w:r w:rsidRPr="00015068">
        <w:rPr>
          <w:rFonts w:ascii="Times New Roman" w:hAnsi="Times New Roman" w:cs="Times New Roman"/>
          <w:sz w:val="20"/>
        </w:rPr>
        <w:t>of</w:t>
      </w:r>
      <w:proofErr w:type="gramEnd"/>
      <w:r w:rsidRPr="00015068">
        <w:rPr>
          <w:rFonts w:ascii="Times New Roman" w:hAnsi="Times New Roman" w:cs="Times New Roman"/>
          <w:sz w:val="20"/>
        </w:rPr>
        <w:t xml:space="preserve"> Oxford, U.K. In 1982, he completed his studies in organometallic chemistry under Malcolm L.H. Green and joined the lab of R. H.</w:t>
      </w:r>
      <w:r>
        <w:rPr>
          <w:rFonts w:ascii="Times New Roman" w:hAnsi="Times New Roman" w:cs="Times New Roman"/>
          <w:sz w:val="20"/>
        </w:rPr>
        <w:t xml:space="preserve"> </w:t>
      </w:r>
      <w:r w:rsidRPr="00015068">
        <w:rPr>
          <w:rFonts w:ascii="Times New Roman" w:hAnsi="Times New Roman" w:cs="Times New Roman"/>
          <w:sz w:val="20"/>
        </w:rPr>
        <w:t xml:space="preserve">Holm at Harvard University for postdoctoral and NIH postdoctoral work on bioinorganic chemistry. In 1985, he joined Monsanto Corporate research where he </w:t>
      </w:r>
      <w:r w:rsidRPr="00015068">
        <w:rPr>
          <w:rFonts w:ascii="Times New Roman" w:hAnsi="Times New Roman" w:cs="Times New Roman"/>
          <w:sz w:val="20"/>
        </w:rPr>
        <w:lastRenderedPageBreak/>
        <w:t xml:space="preserve">published a variety of papers ranging from RNA chemistry to commodity organic synthesis and received several awards for green chemistry. In 1991, he joined the faculty of Washington University in St. Louis and in 1999 he returned to Monsanto. After the transitions to Pharmacia and Pfizer, he co-founded the antiviral company </w:t>
      </w:r>
      <w:proofErr w:type="spellStart"/>
      <w:r w:rsidRPr="00015068">
        <w:rPr>
          <w:rFonts w:ascii="Times New Roman" w:hAnsi="Times New Roman" w:cs="Times New Roman"/>
          <w:sz w:val="20"/>
        </w:rPr>
        <w:t>NanoVir</w:t>
      </w:r>
      <w:proofErr w:type="spellEnd"/>
      <w:r w:rsidRPr="00015068">
        <w:rPr>
          <w:rFonts w:ascii="Times New Roman" w:hAnsi="Times New Roman" w:cs="Times New Roman"/>
          <w:sz w:val="20"/>
        </w:rPr>
        <w:t>, LLC with virologist Chris Fisher and began work at the University of Missouri-St. Louis. In 2011, he was appointed full professor and in 2022 received the St. Louis Award from the local section of the American Chemical Society. He published 80 papers and has 16 issued U.S. patents.</w:t>
      </w:r>
      <w:bookmarkEnd w:id="0"/>
    </w:p>
    <w:sectPr w:rsidR="00015068" w:rsidRPr="000150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5068"/>
    <w:rsid w:val="00015068"/>
    <w:rsid w:val="00474203"/>
    <w:rsid w:val="00535872"/>
    <w:rsid w:val="00924B33"/>
    <w:rsid w:val="009A1B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Pages>
  <Words>645</Words>
  <Characters>3679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2022-10-20T05:39:00Z</dcterms:created>
  <dcterms:modified xsi:type="dcterms:W3CDTF">2022-10-20T06:03:00Z</dcterms:modified>
</cp:coreProperties>
</file>