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388" w:rsidRDefault="00750388" w:rsidP="00B82431">
      <w:pPr>
        <w:autoSpaceDE w:val="0"/>
        <w:autoSpaceDN w:val="0"/>
        <w:adjustRightInd w:val="0"/>
        <w:spacing w:after="200" w:line="276" w:lineRule="auto"/>
        <w:rPr>
          <w:rFonts w:ascii="Times New Roman" w:eastAsia="Times New Roman" w:hAnsi="Times New Roman" w:cs="Times New Roman"/>
          <w:b/>
          <w:color w:val="26282A"/>
          <w:sz w:val="32"/>
          <w:szCs w:val="28"/>
        </w:rPr>
      </w:pPr>
      <w:r w:rsidRPr="00B82431">
        <w:rPr>
          <w:rFonts w:ascii="Times New Roman" w:hAnsi="Times New Roman" w:cs="Times New Roman"/>
          <w:b/>
          <w:color w:val="000000" w:themeColor="text1"/>
          <w:sz w:val="32"/>
          <w:szCs w:val="52"/>
        </w:rPr>
        <w:t xml:space="preserve">Investigation of antibacterial and </w:t>
      </w:r>
      <w:r w:rsidRPr="00B82431">
        <w:rPr>
          <w:rFonts w:ascii="Times New Roman" w:hAnsi="Times New Roman" w:cs="Times New Roman"/>
          <w:b/>
          <w:color w:val="000000" w:themeColor="text1"/>
          <w:sz w:val="32"/>
          <w:szCs w:val="28"/>
        </w:rPr>
        <w:t xml:space="preserve">anticancer </w:t>
      </w:r>
      <w:r w:rsidRPr="00B82431">
        <w:rPr>
          <w:rFonts w:ascii="Times New Roman" w:eastAsia="Times New Roman" w:hAnsi="Times New Roman" w:cs="Times New Roman"/>
          <w:b/>
          <w:color w:val="26282A"/>
          <w:sz w:val="32"/>
          <w:szCs w:val="28"/>
        </w:rPr>
        <w:t xml:space="preserve">effects of novel </w:t>
      </w:r>
      <w:bookmarkStart w:id="0" w:name="OLE_LINK15"/>
      <w:proofErr w:type="spellStart"/>
      <w:r w:rsidRPr="00B82431">
        <w:rPr>
          <w:rFonts w:ascii="Times New Roman" w:eastAsia="Times New Roman" w:hAnsi="Times New Roman" w:cs="Times New Roman"/>
          <w:b/>
          <w:color w:val="26282A"/>
          <w:sz w:val="32"/>
          <w:szCs w:val="28"/>
        </w:rPr>
        <w:t>niosomal</w:t>
      </w:r>
      <w:proofErr w:type="spellEnd"/>
      <w:r w:rsidRPr="00B82431">
        <w:rPr>
          <w:rFonts w:ascii="Times New Roman" w:eastAsia="Times New Roman" w:hAnsi="Times New Roman" w:cs="Times New Roman"/>
          <w:b/>
          <w:color w:val="26282A"/>
          <w:sz w:val="32"/>
          <w:szCs w:val="28"/>
        </w:rPr>
        <w:t xml:space="preserve"> </w:t>
      </w:r>
      <w:bookmarkEnd w:id="0"/>
      <w:r w:rsidRPr="00B82431">
        <w:rPr>
          <w:rFonts w:ascii="Times New Roman" w:eastAsia="Times New Roman" w:hAnsi="Times New Roman" w:cs="Times New Roman"/>
          <w:b/>
          <w:color w:val="26282A"/>
          <w:sz w:val="32"/>
          <w:szCs w:val="28"/>
        </w:rPr>
        <w:t xml:space="preserve">formulated Persian Gulf </w:t>
      </w:r>
      <w:r w:rsidR="00B82431">
        <w:rPr>
          <w:rFonts w:ascii="Times New Roman" w:eastAsia="Times New Roman" w:hAnsi="Times New Roman" w:cs="Times New Roman"/>
          <w:b/>
          <w:color w:val="26282A"/>
          <w:sz w:val="32"/>
          <w:szCs w:val="28"/>
        </w:rPr>
        <w:t>S</w:t>
      </w:r>
      <w:r w:rsidR="00B82431" w:rsidRPr="00B82431">
        <w:rPr>
          <w:rFonts w:ascii="Times New Roman" w:eastAsia="Times New Roman" w:hAnsi="Times New Roman" w:cs="Times New Roman"/>
          <w:b/>
          <w:color w:val="26282A"/>
          <w:sz w:val="32"/>
          <w:szCs w:val="28"/>
        </w:rPr>
        <w:t xml:space="preserve">ea Cucumber Extracts </w:t>
      </w:r>
      <w:r w:rsidRPr="00B82431">
        <w:rPr>
          <w:rFonts w:ascii="Times New Roman" w:eastAsia="Times New Roman" w:hAnsi="Times New Roman" w:cs="Times New Roman"/>
          <w:b/>
          <w:color w:val="26282A"/>
          <w:sz w:val="32"/>
          <w:szCs w:val="28"/>
        </w:rPr>
        <w:t xml:space="preserve">(SCEs) </w:t>
      </w:r>
    </w:p>
    <w:p w:rsidR="00B82431" w:rsidRDefault="00B82431" w:rsidP="00B82431">
      <w:pPr>
        <w:autoSpaceDE w:val="0"/>
        <w:autoSpaceDN w:val="0"/>
        <w:adjustRightInd w:val="0"/>
        <w:spacing w:after="200" w:line="276" w:lineRule="auto"/>
        <w:rPr>
          <w:rFonts w:ascii="Times New Roman" w:eastAsia="Times New Roman" w:hAnsi="Times New Roman" w:cs="Times New Roman"/>
          <w:color w:val="26282A"/>
          <w:sz w:val="24"/>
          <w:szCs w:val="28"/>
        </w:rPr>
      </w:pPr>
      <w:commentRangeStart w:id="1"/>
      <w:r>
        <w:rPr>
          <w:rFonts w:ascii="Times New Roman" w:eastAsia="Times New Roman" w:hAnsi="Times New Roman" w:cs="Times New Roman"/>
          <w:color w:val="26282A"/>
          <w:sz w:val="24"/>
          <w:szCs w:val="28"/>
        </w:rPr>
        <w:t>Author name</w:t>
      </w:r>
    </w:p>
    <w:p w:rsidR="00B82431" w:rsidRDefault="00B82431" w:rsidP="00B82431">
      <w:pPr>
        <w:autoSpaceDE w:val="0"/>
        <w:autoSpaceDN w:val="0"/>
        <w:adjustRightInd w:val="0"/>
        <w:spacing w:after="200" w:line="276" w:lineRule="auto"/>
        <w:rPr>
          <w:rFonts w:ascii="Times New Roman" w:eastAsia="Times New Roman" w:hAnsi="Times New Roman" w:cs="Times New Roman"/>
          <w:color w:val="26282A"/>
          <w:sz w:val="24"/>
          <w:szCs w:val="28"/>
        </w:rPr>
      </w:pPr>
      <w:r>
        <w:rPr>
          <w:rFonts w:ascii="Times New Roman" w:eastAsia="Times New Roman" w:hAnsi="Times New Roman" w:cs="Times New Roman"/>
          <w:color w:val="26282A"/>
          <w:sz w:val="24"/>
          <w:szCs w:val="28"/>
        </w:rPr>
        <w:t>University name, country</w:t>
      </w:r>
      <w:commentRangeEnd w:id="1"/>
      <w:r w:rsidR="00382F2D">
        <w:rPr>
          <w:rStyle w:val="CommentReference"/>
        </w:rPr>
        <w:commentReference w:id="1"/>
      </w:r>
    </w:p>
    <w:p w:rsidR="00750388" w:rsidRPr="00B82431" w:rsidRDefault="00B82431" w:rsidP="00B82431">
      <w:pPr>
        <w:autoSpaceDE w:val="0"/>
        <w:autoSpaceDN w:val="0"/>
        <w:adjustRightInd w:val="0"/>
        <w:spacing w:after="200" w:line="276" w:lineRule="auto"/>
        <w:jc w:val="center"/>
        <w:rPr>
          <w:rFonts w:ascii="Times New Roman" w:hAnsi="Times New Roman" w:cs="Times New Roman"/>
          <w:b/>
          <w:bCs/>
          <w:sz w:val="20"/>
          <w:szCs w:val="20"/>
        </w:rPr>
      </w:pPr>
      <w:r w:rsidRPr="00B82431">
        <w:rPr>
          <w:rFonts w:ascii="Times New Roman" w:eastAsia="Times New Roman" w:hAnsi="Times New Roman" w:cs="Times New Roman"/>
          <w:b/>
          <w:color w:val="26282A"/>
          <w:sz w:val="24"/>
          <w:szCs w:val="28"/>
        </w:rPr>
        <w:t>Abstract</w:t>
      </w:r>
    </w:p>
    <w:p w:rsidR="00FD160F" w:rsidRPr="00B82431" w:rsidRDefault="00FD160F" w:rsidP="00B82431">
      <w:pPr>
        <w:spacing w:after="200" w:line="276" w:lineRule="auto"/>
        <w:jc w:val="both"/>
        <w:rPr>
          <w:rFonts w:ascii="Times New Roman" w:hAnsi="Times New Roman" w:cs="Times New Roman"/>
          <w:sz w:val="20"/>
          <w:szCs w:val="20"/>
        </w:rPr>
      </w:pPr>
      <w:r w:rsidRPr="00B82431">
        <w:rPr>
          <w:rFonts w:ascii="Times New Roman" w:hAnsi="Times New Roman" w:cs="Times New Roman"/>
          <w:b/>
          <w:bCs/>
          <w:sz w:val="20"/>
          <w:szCs w:val="20"/>
        </w:rPr>
        <w:t>Background</w:t>
      </w:r>
      <w:r w:rsidR="00B82431">
        <w:rPr>
          <w:rFonts w:ascii="Times New Roman" w:hAnsi="Times New Roman" w:cs="Times New Roman"/>
          <w:b/>
          <w:bCs/>
          <w:sz w:val="20"/>
          <w:szCs w:val="20"/>
        </w:rPr>
        <w:t>:</w:t>
      </w:r>
      <w:r w:rsidRPr="00B82431">
        <w:rPr>
          <w:rFonts w:ascii="Times New Roman" w:hAnsi="Times New Roman" w:cs="Times New Roman"/>
        </w:rPr>
        <w:t xml:space="preserve"> </w:t>
      </w:r>
      <w:r w:rsidRPr="00B82431">
        <w:rPr>
          <w:rFonts w:ascii="Times New Roman" w:hAnsi="Times New Roman" w:cs="Times New Roman"/>
          <w:sz w:val="20"/>
          <w:szCs w:val="20"/>
        </w:rPr>
        <w:t xml:space="preserve">Pharmaceutical companies </w:t>
      </w:r>
      <w:r w:rsidRPr="00B82431">
        <w:rPr>
          <w:rFonts w:ascii="Times New Roman" w:eastAsia="Calibri" w:hAnsi="Times New Roman" w:cs="Times New Roman"/>
          <w:sz w:val="20"/>
          <w:szCs w:val="20"/>
        </w:rPr>
        <w:t xml:space="preserve">worldwide </w:t>
      </w:r>
      <w:r w:rsidRPr="00B82431">
        <w:rPr>
          <w:rFonts w:ascii="Times New Roman" w:hAnsi="Times New Roman" w:cs="Times New Roman"/>
          <w:sz w:val="20"/>
          <w:szCs w:val="20"/>
        </w:rPr>
        <w:t xml:space="preserve">are scrambling to </w:t>
      </w:r>
      <w:r w:rsidRPr="00B82431">
        <w:rPr>
          <w:rFonts w:ascii="Times New Roman" w:eastAsia="Calibri" w:hAnsi="Times New Roman" w:cs="Times New Roman"/>
          <w:sz w:val="20"/>
          <w:szCs w:val="20"/>
        </w:rPr>
        <w:t xml:space="preserve">develop </w:t>
      </w:r>
      <w:r w:rsidRPr="00B82431">
        <w:rPr>
          <w:rFonts w:ascii="Times New Roman" w:hAnsi="Times New Roman" w:cs="Times New Roman"/>
          <w:sz w:val="20"/>
          <w:szCs w:val="20"/>
        </w:rPr>
        <w:t xml:space="preserve">new ways to combat cancer and microbiological pathogens. The goal of this research was to investigate the antibacterial, anticancer, and apoptosis effects of novel </w:t>
      </w:r>
      <w:proofErr w:type="spellStart"/>
      <w:r w:rsidRPr="00B82431">
        <w:rPr>
          <w:rFonts w:ascii="Times New Roman" w:hAnsi="Times New Roman" w:cs="Times New Roman"/>
          <w:sz w:val="20"/>
          <w:szCs w:val="20"/>
          <w:lang w:bidi="fa-IR"/>
        </w:rPr>
        <w:t>niosomal</w:t>
      </w:r>
      <w:proofErr w:type="spellEnd"/>
      <w:r w:rsidRPr="00B82431">
        <w:rPr>
          <w:rFonts w:ascii="Times New Roman" w:hAnsi="Times New Roman" w:cs="Times New Roman"/>
          <w:sz w:val="20"/>
          <w:szCs w:val="20"/>
          <w:lang w:bidi="fa-IR"/>
        </w:rPr>
        <w:t xml:space="preserve"> formulated Persian Gulf </w:t>
      </w:r>
      <w:r w:rsidR="00B82431" w:rsidRPr="00B82431">
        <w:rPr>
          <w:rFonts w:ascii="Times New Roman" w:hAnsi="Times New Roman" w:cs="Times New Roman"/>
          <w:sz w:val="20"/>
          <w:szCs w:val="20"/>
          <w:lang w:bidi="fa-IR"/>
        </w:rPr>
        <w:t xml:space="preserve">Sea </w:t>
      </w:r>
      <w:r w:rsidR="00B82431" w:rsidRPr="00B82431">
        <w:rPr>
          <w:rFonts w:ascii="Times New Roman" w:eastAsia="Calibri" w:hAnsi="Times New Roman" w:cs="Times New Roman"/>
          <w:sz w:val="20"/>
          <w:szCs w:val="20"/>
          <w:lang w:bidi="fa-IR"/>
        </w:rPr>
        <w:t xml:space="preserve">Cucumber Extracts </w:t>
      </w:r>
      <w:r w:rsidRPr="00B82431">
        <w:rPr>
          <w:rFonts w:ascii="Times New Roman" w:eastAsia="Calibri" w:hAnsi="Times New Roman" w:cs="Times New Roman"/>
          <w:sz w:val="20"/>
          <w:szCs w:val="20"/>
          <w:lang w:bidi="fa-IR"/>
        </w:rPr>
        <w:t>(SCEs</w:t>
      </w:r>
      <w:r w:rsidRPr="00B82431">
        <w:rPr>
          <w:rFonts w:ascii="Times New Roman" w:hAnsi="Times New Roman" w:cs="Times New Roman"/>
          <w:sz w:val="20"/>
          <w:szCs w:val="20"/>
          <w:lang w:bidi="fa-IR"/>
        </w:rPr>
        <w:t>).</w:t>
      </w:r>
    </w:p>
    <w:p w:rsidR="00FD160F" w:rsidRPr="00B82431" w:rsidRDefault="00FD160F" w:rsidP="00B82431">
      <w:pPr>
        <w:spacing w:after="200" w:line="276" w:lineRule="auto"/>
        <w:jc w:val="both"/>
        <w:rPr>
          <w:rFonts w:ascii="Times New Roman" w:hAnsi="Times New Roman" w:cs="Times New Roman"/>
          <w:sz w:val="20"/>
          <w:szCs w:val="20"/>
        </w:rPr>
      </w:pPr>
      <w:r w:rsidRPr="00B82431">
        <w:rPr>
          <w:rFonts w:ascii="Times New Roman" w:hAnsi="Times New Roman" w:cs="Times New Roman"/>
          <w:b/>
          <w:bCs/>
          <w:sz w:val="20"/>
          <w:szCs w:val="20"/>
        </w:rPr>
        <w:t>Methods and results</w:t>
      </w:r>
      <w:r w:rsidR="00B82431">
        <w:rPr>
          <w:rFonts w:ascii="Times New Roman" w:hAnsi="Times New Roman" w:cs="Times New Roman"/>
          <w:b/>
          <w:bCs/>
          <w:sz w:val="20"/>
          <w:szCs w:val="20"/>
        </w:rPr>
        <w:t>:</w:t>
      </w:r>
      <w:r w:rsidRPr="00B82431">
        <w:rPr>
          <w:rFonts w:ascii="Times New Roman" w:hAnsi="Times New Roman" w:cs="Times New Roman"/>
          <w:b/>
          <w:bCs/>
          <w:sz w:val="20"/>
          <w:szCs w:val="20"/>
        </w:rPr>
        <w:t xml:space="preserve"> </w:t>
      </w:r>
      <w:r w:rsidRPr="00B82431">
        <w:rPr>
          <w:rFonts w:ascii="Times New Roman" w:hAnsi="Times New Roman" w:cs="Times New Roman"/>
          <w:sz w:val="20"/>
          <w:szCs w:val="20"/>
        </w:rPr>
        <w:t xml:space="preserve">Sea cucumber </w:t>
      </w:r>
      <w:proofErr w:type="spellStart"/>
      <w:r w:rsidRPr="00B82431">
        <w:rPr>
          <w:rFonts w:ascii="Times New Roman" w:hAnsi="Times New Roman" w:cs="Times New Roman"/>
          <w:sz w:val="20"/>
          <w:szCs w:val="20"/>
        </w:rPr>
        <w:t>methanolic</w:t>
      </w:r>
      <w:proofErr w:type="spellEnd"/>
      <w:r w:rsidRPr="00B82431">
        <w:rPr>
          <w:rFonts w:ascii="Times New Roman" w:hAnsi="Times New Roman" w:cs="Times New Roman"/>
          <w:sz w:val="20"/>
          <w:szCs w:val="20"/>
        </w:rPr>
        <w:t xml:space="preserve"> </w:t>
      </w:r>
      <w:r w:rsidRPr="00B82431">
        <w:rPr>
          <w:rFonts w:ascii="Times New Roman" w:eastAsia="Calibri" w:hAnsi="Times New Roman" w:cs="Times New Roman"/>
          <w:sz w:val="20"/>
          <w:szCs w:val="20"/>
        </w:rPr>
        <w:t>extracts</w:t>
      </w:r>
      <w:r w:rsidRPr="00B82431">
        <w:rPr>
          <w:rFonts w:ascii="Times New Roman" w:hAnsi="Times New Roman" w:cs="Times New Roman"/>
          <w:sz w:val="20"/>
          <w:szCs w:val="20"/>
        </w:rPr>
        <w:t xml:space="preserve"> were prepared and encapsulated in </w:t>
      </w:r>
      <w:proofErr w:type="spellStart"/>
      <w:r w:rsidRPr="00B82431">
        <w:rPr>
          <w:rFonts w:ascii="Times New Roman" w:hAnsi="Times New Roman" w:cs="Times New Roman"/>
          <w:sz w:val="20"/>
          <w:szCs w:val="20"/>
        </w:rPr>
        <w:t>niosome</w:t>
      </w:r>
      <w:proofErr w:type="spellEnd"/>
      <w:r w:rsidRPr="00B82431">
        <w:rPr>
          <w:rFonts w:ascii="Times New Roman" w:hAnsi="Times New Roman" w:cs="Times New Roman"/>
          <w:sz w:val="20"/>
          <w:szCs w:val="20"/>
          <w:lang w:bidi="fa-IR"/>
        </w:rPr>
        <w:t xml:space="preserve"> nanoparticles using thin-film hydration. The compound was made up of Span 60 and Tween 60 blended with cholesterol in a 3:3:4 molar </w:t>
      </w:r>
      <w:r w:rsidR="00B82431" w:rsidRPr="00B82431">
        <w:rPr>
          <w:rFonts w:ascii="Times New Roman" w:hAnsi="Times New Roman" w:cs="Times New Roman"/>
          <w:sz w:val="20"/>
          <w:szCs w:val="20"/>
          <w:lang w:bidi="fa-IR"/>
        </w:rPr>
        <w:t>ratios</w:t>
      </w:r>
      <w:r w:rsidRPr="00B82431">
        <w:rPr>
          <w:rFonts w:ascii="Times New Roman" w:hAnsi="Times New Roman" w:cs="Times New Roman"/>
          <w:sz w:val="20"/>
          <w:szCs w:val="20"/>
          <w:lang w:bidi="fa-IR"/>
        </w:rPr>
        <w:t xml:space="preserve">. Characterization of </w:t>
      </w:r>
      <w:proofErr w:type="spellStart"/>
      <w:r w:rsidRPr="00B82431">
        <w:rPr>
          <w:rFonts w:ascii="Times New Roman" w:hAnsi="Times New Roman" w:cs="Times New Roman"/>
          <w:sz w:val="20"/>
          <w:szCs w:val="20"/>
          <w:lang w:bidi="fa-IR"/>
        </w:rPr>
        <w:t>niosome</w:t>
      </w:r>
      <w:proofErr w:type="spellEnd"/>
      <w:r w:rsidRPr="00B82431">
        <w:rPr>
          <w:rFonts w:ascii="Times New Roman" w:eastAsia="Calibri" w:hAnsi="Times New Roman" w:cs="Times New Roman"/>
          <w:sz w:val="20"/>
          <w:szCs w:val="20"/>
        </w:rPr>
        <w:t>-</w:t>
      </w:r>
      <w:r w:rsidRPr="00B82431">
        <w:rPr>
          <w:rFonts w:ascii="Times New Roman" w:hAnsi="Times New Roman" w:cs="Times New Roman"/>
          <w:sz w:val="20"/>
          <w:szCs w:val="20"/>
        </w:rPr>
        <w:t xml:space="preserve">encapsulated SCE </w:t>
      </w:r>
      <w:r w:rsidR="00B82431">
        <w:rPr>
          <w:rFonts w:ascii="Times New Roman" w:hAnsi="Times New Roman" w:cs="Times New Roman"/>
          <w:sz w:val="20"/>
          <w:szCs w:val="20"/>
        </w:rPr>
        <w:t xml:space="preserve">is </w:t>
      </w:r>
      <w:r w:rsidRPr="00B82431">
        <w:rPr>
          <w:rFonts w:ascii="Times New Roman" w:hAnsi="Times New Roman" w:cs="Times New Roman"/>
          <w:sz w:val="20"/>
          <w:szCs w:val="20"/>
        </w:rPr>
        <w:t xml:space="preserve">evaluated by </w:t>
      </w:r>
      <w:r w:rsidRPr="00B82431">
        <w:rPr>
          <w:rFonts w:ascii="Times New Roman" w:eastAsia="Calibri" w:hAnsi="Times New Roman" w:cs="Times New Roman"/>
          <w:sz w:val="20"/>
          <w:szCs w:val="20"/>
        </w:rPr>
        <w:t>scanning</w:t>
      </w:r>
      <w:r w:rsidRPr="00B82431">
        <w:rPr>
          <w:rFonts w:ascii="Times New Roman" w:hAnsi="Times New Roman" w:cs="Times New Roman"/>
          <w:sz w:val="20"/>
          <w:szCs w:val="20"/>
        </w:rPr>
        <w:t xml:space="preserve"> electron microscopy and </w:t>
      </w:r>
      <w:r w:rsidRPr="00B82431">
        <w:rPr>
          <w:rFonts w:ascii="Times New Roman" w:eastAsia="Calibri" w:hAnsi="Times New Roman" w:cs="Times New Roman"/>
          <w:sz w:val="20"/>
          <w:szCs w:val="20"/>
        </w:rPr>
        <w:t>transmission</w:t>
      </w:r>
      <w:r w:rsidRPr="00B82431">
        <w:rPr>
          <w:rFonts w:ascii="Times New Roman" w:hAnsi="Times New Roman" w:cs="Times New Roman"/>
          <w:sz w:val="20"/>
          <w:szCs w:val="20"/>
        </w:rPr>
        <w:t xml:space="preserve"> electron microscopy. The disk diffusion method and microtiter </w:t>
      </w:r>
      <w:r w:rsidRPr="00B82431">
        <w:rPr>
          <w:rFonts w:ascii="Times New Roman" w:eastAsia="Calibri" w:hAnsi="Times New Roman" w:cs="Times New Roman"/>
          <w:sz w:val="20"/>
          <w:szCs w:val="20"/>
        </w:rPr>
        <w:t>plates</w:t>
      </w:r>
      <w:r w:rsidRPr="00B82431">
        <w:rPr>
          <w:rFonts w:ascii="Times New Roman" w:hAnsi="Times New Roman" w:cs="Times New Roman"/>
          <w:sz w:val="20"/>
          <w:szCs w:val="20"/>
        </w:rPr>
        <w:t xml:space="preserve"> were used to investigate the antimicrobial activity. The effect of </w:t>
      </w:r>
      <w:proofErr w:type="spellStart"/>
      <w:r w:rsidRPr="00B82431">
        <w:rPr>
          <w:rFonts w:ascii="Times New Roman" w:hAnsi="Times New Roman" w:cs="Times New Roman"/>
          <w:sz w:val="20"/>
          <w:szCs w:val="20"/>
          <w:lang w:bidi="fa-IR"/>
        </w:rPr>
        <w:t>niosome</w:t>
      </w:r>
      <w:proofErr w:type="spellEnd"/>
      <w:r w:rsidRPr="00B82431">
        <w:rPr>
          <w:rFonts w:ascii="Times New Roman" w:eastAsia="Calibri" w:hAnsi="Times New Roman" w:cs="Times New Roman"/>
          <w:sz w:val="20"/>
          <w:szCs w:val="20"/>
        </w:rPr>
        <w:t>-</w:t>
      </w:r>
      <w:r w:rsidRPr="00B82431">
        <w:rPr>
          <w:rFonts w:ascii="Times New Roman" w:hAnsi="Times New Roman" w:cs="Times New Roman"/>
          <w:sz w:val="20"/>
          <w:szCs w:val="20"/>
        </w:rPr>
        <w:t>encapsulated SCE on cell proliferation</w:t>
      </w:r>
      <w:r w:rsidRPr="00B82431">
        <w:rPr>
          <w:rFonts w:ascii="Times New Roman" w:eastAsia="Calibri" w:hAnsi="Times New Roman" w:cs="Times New Roman"/>
          <w:sz w:val="20"/>
          <w:szCs w:val="20"/>
        </w:rPr>
        <w:t xml:space="preserve"> and</w:t>
      </w:r>
      <w:r w:rsidRPr="00B82431">
        <w:rPr>
          <w:rFonts w:ascii="Times New Roman" w:hAnsi="Times New Roman" w:cs="Times New Roman"/>
          <w:sz w:val="20"/>
          <w:szCs w:val="20"/>
        </w:rPr>
        <w:t xml:space="preserve"> apoptosis induction was studied using MTT and Annexin V, respectively. The expression of </w:t>
      </w:r>
      <w:r w:rsidRPr="00B82431">
        <w:rPr>
          <w:rFonts w:ascii="Times New Roman" w:eastAsia="Calibri" w:hAnsi="Times New Roman" w:cs="Times New Roman"/>
          <w:sz w:val="20"/>
          <w:szCs w:val="20"/>
        </w:rPr>
        <w:t>apoptosis</w:t>
      </w:r>
      <w:r w:rsidRPr="00B82431">
        <w:rPr>
          <w:rFonts w:ascii="Times New Roman" w:hAnsi="Times New Roman" w:cs="Times New Roman"/>
          <w:sz w:val="20"/>
          <w:szCs w:val="20"/>
        </w:rPr>
        <w:t>-related genes</w:t>
      </w:r>
      <w:r w:rsidRPr="00B82431">
        <w:rPr>
          <w:rFonts w:ascii="Times New Roman" w:eastAsia="Calibri" w:hAnsi="Times New Roman" w:cs="Times New Roman"/>
          <w:sz w:val="20"/>
          <w:szCs w:val="20"/>
        </w:rPr>
        <w:t>,</w:t>
      </w:r>
      <w:r w:rsidRPr="00B82431">
        <w:rPr>
          <w:rFonts w:ascii="Times New Roman" w:hAnsi="Times New Roman" w:cs="Times New Roman"/>
          <w:sz w:val="20"/>
          <w:szCs w:val="20"/>
        </w:rPr>
        <w:t xml:space="preserve"> including </w:t>
      </w:r>
      <w:proofErr w:type="spellStart"/>
      <w:r w:rsidRPr="00B82431">
        <w:rPr>
          <w:rFonts w:ascii="Times New Roman" w:hAnsi="Times New Roman" w:cs="Times New Roman"/>
          <w:i/>
          <w:iCs/>
          <w:sz w:val="20"/>
          <w:szCs w:val="20"/>
        </w:rPr>
        <w:t>Bax</w:t>
      </w:r>
      <w:proofErr w:type="spellEnd"/>
      <w:r w:rsidRPr="00B82431">
        <w:rPr>
          <w:rFonts w:ascii="Times New Roman" w:hAnsi="Times New Roman" w:cs="Times New Roman"/>
          <w:i/>
          <w:iCs/>
          <w:sz w:val="20"/>
          <w:szCs w:val="20"/>
        </w:rPr>
        <w:t xml:space="preserve">, Fas, </w:t>
      </w:r>
      <w:proofErr w:type="spellStart"/>
      <w:r w:rsidRPr="00B82431">
        <w:rPr>
          <w:rFonts w:ascii="Times New Roman" w:hAnsi="Times New Roman" w:cs="Times New Roman"/>
          <w:i/>
          <w:iCs/>
          <w:sz w:val="20"/>
          <w:szCs w:val="20"/>
        </w:rPr>
        <w:t>Bax</w:t>
      </w:r>
      <w:proofErr w:type="spellEnd"/>
      <w:r w:rsidRPr="00B82431">
        <w:rPr>
          <w:rFonts w:ascii="Times New Roman" w:hAnsi="Times New Roman" w:cs="Times New Roman"/>
          <w:i/>
          <w:iCs/>
          <w:sz w:val="20"/>
          <w:szCs w:val="20"/>
        </w:rPr>
        <w:t xml:space="preserve">, </w:t>
      </w:r>
      <w:proofErr w:type="spellStart"/>
      <w:r w:rsidRPr="00B82431">
        <w:rPr>
          <w:rFonts w:ascii="Times New Roman" w:hAnsi="Times New Roman" w:cs="Times New Roman"/>
          <w:i/>
          <w:iCs/>
          <w:sz w:val="20"/>
          <w:szCs w:val="20"/>
        </w:rPr>
        <w:t>Bak</w:t>
      </w:r>
      <w:proofErr w:type="spellEnd"/>
      <w:r w:rsidRPr="00B82431">
        <w:rPr>
          <w:rFonts w:ascii="Times New Roman" w:hAnsi="Times New Roman" w:cs="Times New Roman"/>
          <w:i/>
          <w:iCs/>
          <w:sz w:val="20"/>
          <w:szCs w:val="20"/>
        </w:rPr>
        <w:t xml:space="preserve">, </w:t>
      </w:r>
      <w:r w:rsidRPr="00B82431">
        <w:rPr>
          <w:rFonts w:ascii="Times New Roman" w:hAnsi="Times New Roman" w:cs="Times New Roman"/>
          <w:sz w:val="20"/>
          <w:szCs w:val="20"/>
        </w:rPr>
        <w:t>and</w:t>
      </w:r>
      <w:r w:rsidRPr="00B82431">
        <w:rPr>
          <w:rFonts w:ascii="Times New Roman" w:hAnsi="Times New Roman" w:cs="Times New Roman"/>
          <w:i/>
          <w:iCs/>
          <w:sz w:val="20"/>
          <w:szCs w:val="20"/>
        </w:rPr>
        <w:t xml:space="preserve"> Bcl2</w:t>
      </w:r>
      <w:r w:rsidRPr="00B82431">
        <w:rPr>
          <w:rFonts w:ascii="Times New Roman" w:eastAsia="Calibri" w:hAnsi="Times New Roman" w:cs="Times New Roman"/>
          <w:i/>
          <w:iCs/>
          <w:sz w:val="20"/>
          <w:szCs w:val="20"/>
        </w:rPr>
        <w:t>,</w:t>
      </w:r>
      <w:r w:rsidRPr="00B82431">
        <w:rPr>
          <w:rFonts w:ascii="Times New Roman" w:hAnsi="Times New Roman" w:cs="Times New Roman"/>
          <w:sz w:val="20"/>
          <w:szCs w:val="20"/>
        </w:rPr>
        <w:t xml:space="preserve"> was studied using </w:t>
      </w:r>
      <w:r w:rsidRPr="00B82431">
        <w:rPr>
          <w:rStyle w:val="Emphasis"/>
          <w:rFonts w:ascii="Times New Roman" w:hAnsi="Times New Roman" w:cs="Times New Roman"/>
          <w:sz w:val="20"/>
          <w:szCs w:val="20"/>
        </w:rPr>
        <w:t xml:space="preserve">quantitative </w:t>
      </w:r>
      <w:r w:rsidRPr="00B82431">
        <w:rPr>
          <w:rFonts w:ascii="Times New Roman" w:hAnsi="Times New Roman" w:cs="Times New Roman"/>
          <w:sz w:val="20"/>
          <w:szCs w:val="20"/>
        </w:rPr>
        <w:t xml:space="preserve">real-time PCR. </w:t>
      </w:r>
      <w:proofErr w:type="spellStart"/>
      <w:r w:rsidRPr="00B82431">
        <w:rPr>
          <w:rFonts w:ascii="Times New Roman" w:eastAsia="Calibri" w:hAnsi="Times New Roman" w:cs="Times New Roman"/>
          <w:sz w:val="20"/>
          <w:szCs w:val="20"/>
          <w:lang w:bidi="fa-IR"/>
        </w:rPr>
        <w:t>Niosome</w:t>
      </w:r>
      <w:proofErr w:type="spellEnd"/>
      <w:r w:rsidRPr="00B82431">
        <w:rPr>
          <w:rFonts w:ascii="Times New Roman" w:eastAsia="Calibri" w:hAnsi="Times New Roman" w:cs="Times New Roman"/>
          <w:sz w:val="20"/>
          <w:szCs w:val="20"/>
          <w:lang w:bidi="fa-IR"/>
        </w:rPr>
        <w:t>-</w:t>
      </w:r>
      <w:r w:rsidRPr="00B82431">
        <w:rPr>
          <w:rFonts w:ascii="Times New Roman" w:hAnsi="Times New Roman" w:cs="Times New Roman"/>
          <w:sz w:val="20"/>
          <w:szCs w:val="20"/>
          <w:lang w:bidi="fa-IR"/>
        </w:rPr>
        <w:t xml:space="preserve">encapsulated SCE </w:t>
      </w:r>
      <w:r w:rsidRPr="00B82431">
        <w:rPr>
          <w:rFonts w:ascii="Times New Roman" w:hAnsi="Times New Roman" w:cs="Times New Roman"/>
          <w:sz w:val="20"/>
          <w:szCs w:val="20"/>
          <w:lang w:val="en"/>
        </w:rPr>
        <w:t xml:space="preserve">with a size of </w:t>
      </w:r>
      <w:r w:rsidRPr="00B82431">
        <w:rPr>
          <w:rFonts w:ascii="Times New Roman" w:hAnsi="Times New Roman" w:cs="Times New Roman"/>
          <w:color w:val="000000" w:themeColor="text1"/>
          <w:sz w:val="20"/>
          <w:szCs w:val="20"/>
          <w:lang w:bidi="fa-IR"/>
        </w:rPr>
        <w:t>80.46</w:t>
      </w:r>
      <w:r w:rsidR="00B82431">
        <w:rPr>
          <w:rFonts w:ascii="Times New Roman" w:hAnsi="Times New Roman" w:cs="Times New Roman"/>
          <w:color w:val="000000" w:themeColor="text1"/>
          <w:sz w:val="20"/>
          <w:szCs w:val="20"/>
          <w:lang w:bidi="fa-IR"/>
        </w:rPr>
        <w:t xml:space="preserve"> </w:t>
      </w:r>
      <w:r w:rsidRPr="00B82431">
        <w:rPr>
          <w:rFonts w:ascii="Times New Roman" w:hAnsi="Times New Roman" w:cs="Times New Roman"/>
          <w:color w:val="000000" w:themeColor="text1"/>
          <w:sz w:val="20"/>
          <w:szCs w:val="20"/>
          <w:lang w:bidi="fa-IR"/>
        </w:rPr>
        <w:t>± 1.</w:t>
      </w:r>
      <w:r w:rsidRPr="00B82431">
        <w:rPr>
          <w:rFonts w:ascii="Times New Roman" w:eastAsia="Calibri" w:hAnsi="Times New Roman" w:cs="Times New Roman"/>
          <w:sz w:val="20"/>
          <w:szCs w:val="20"/>
          <w:lang w:val="en"/>
        </w:rPr>
        <w:t>31 and</w:t>
      </w:r>
      <w:r w:rsidRPr="00B82431">
        <w:rPr>
          <w:rFonts w:ascii="Times New Roman" w:hAnsi="Times New Roman" w:cs="Times New Roman"/>
          <w:sz w:val="20"/>
          <w:szCs w:val="20"/>
          <w:lang w:val="en"/>
        </w:rPr>
        <w:t xml:space="preserve"> an encapsulation efficiency of </w:t>
      </w:r>
      <w:r w:rsidRPr="00B82431">
        <w:rPr>
          <w:rFonts w:ascii="Times New Roman" w:hAnsi="Times New Roman" w:cs="Times New Roman"/>
          <w:color w:val="000000" w:themeColor="text1"/>
          <w:sz w:val="20"/>
          <w:szCs w:val="20"/>
          <w:lang w:bidi="fa-IR"/>
        </w:rPr>
        <w:t>79.18</w:t>
      </w:r>
      <w:r w:rsidR="00B82431">
        <w:rPr>
          <w:rFonts w:ascii="Times New Roman" w:hAnsi="Times New Roman" w:cs="Times New Roman"/>
          <w:color w:val="000000" w:themeColor="text1"/>
          <w:sz w:val="20"/>
          <w:szCs w:val="20"/>
          <w:lang w:bidi="fa-IR"/>
        </w:rPr>
        <w:t xml:space="preserve"> </w:t>
      </w:r>
      <w:r w:rsidRPr="00B82431">
        <w:rPr>
          <w:rFonts w:ascii="Times New Roman" w:hAnsi="Times New Roman" w:cs="Times New Roman"/>
          <w:color w:val="000000" w:themeColor="text1"/>
          <w:sz w:val="20"/>
          <w:szCs w:val="20"/>
          <w:lang w:bidi="fa-IR"/>
        </w:rPr>
        <w:t xml:space="preserve">± 0.23 </w:t>
      </w:r>
      <w:r w:rsidRPr="00B82431">
        <w:rPr>
          <w:rFonts w:ascii="Times New Roman" w:eastAsia="Calibri" w:hAnsi="Times New Roman" w:cs="Times New Roman"/>
          <w:sz w:val="20"/>
          <w:szCs w:val="20"/>
          <w:lang w:val="en"/>
        </w:rPr>
        <w:t>was</w:t>
      </w:r>
      <w:r w:rsidRPr="00B82431">
        <w:rPr>
          <w:rFonts w:ascii="Times New Roman" w:hAnsi="Times New Roman" w:cs="Times New Roman"/>
          <w:sz w:val="20"/>
          <w:szCs w:val="20"/>
          <w:lang w:val="en"/>
        </w:rPr>
        <w:t xml:space="preserve"> formulated. </w:t>
      </w:r>
      <w:r w:rsidRPr="00B82431">
        <w:rPr>
          <w:rFonts w:ascii="Times New Roman" w:hAnsi="Times New Roman" w:cs="Times New Roman"/>
          <w:sz w:val="20"/>
          <w:szCs w:val="20"/>
        </w:rPr>
        <w:t xml:space="preserve">At a concentration </w:t>
      </w:r>
      <w:proofErr w:type="gramStart"/>
      <w:r w:rsidRPr="00B82431">
        <w:rPr>
          <w:rFonts w:ascii="Times New Roman" w:hAnsi="Times New Roman" w:cs="Times New Roman"/>
          <w:sz w:val="20"/>
          <w:szCs w:val="20"/>
        </w:rPr>
        <w:t>of 100 µg/mL,</w:t>
      </w:r>
      <w:proofErr w:type="gramEnd"/>
      <w:r w:rsidRPr="00B82431">
        <w:rPr>
          <w:rFonts w:ascii="Times New Roman" w:hAnsi="Times New Roman" w:cs="Times New Roman"/>
          <w:sz w:val="20"/>
          <w:szCs w:val="20"/>
        </w:rPr>
        <w:t xml:space="preserve"> the greatest antimicrobial effect of the </w:t>
      </w:r>
      <w:proofErr w:type="spellStart"/>
      <w:r w:rsidRPr="00B82431">
        <w:rPr>
          <w:rFonts w:ascii="Times New Roman" w:hAnsi="Times New Roman" w:cs="Times New Roman"/>
          <w:sz w:val="20"/>
          <w:szCs w:val="20"/>
        </w:rPr>
        <w:t>niosome</w:t>
      </w:r>
      <w:proofErr w:type="spellEnd"/>
      <w:r w:rsidRPr="00B82431">
        <w:rPr>
          <w:rFonts w:ascii="Times New Roman" w:hAnsi="Times New Roman" w:cs="Times New Roman"/>
          <w:sz w:val="20"/>
          <w:szCs w:val="20"/>
        </w:rPr>
        <w:t xml:space="preserve">-encapsulated SCE was correlated to </w:t>
      </w:r>
      <w:r w:rsidRPr="00B82431">
        <w:rPr>
          <w:rFonts w:ascii="Times New Roman" w:hAnsi="Times New Roman" w:cs="Times New Roman"/>
          <w:i/>
          <w:iCs/>
          <w:sz w:val="20"/>
          <w:szCs w:val="20"/>
        </w:rPr>
        <w:t>Staphylococcus aureus</w:t>
      </w:r>
      <w:r w:rsidRPr="00B82431">
        <w:rPr>
          <w:rFonts w:ascii="Times New Roman" w:hAnsi="Times New Roman" w:cs="Times New Roman"/>
          <w:sz w:val="20"/>
          <w:szCs w:val="20"/>
        </w:rPr>
        <w:t xml:space="preserve">, with an inhibition zone of 13.16 mm. The findings of the study revealed that all strains were unable to produce biofilms at a concentration of 100 µg/ml </w:t>
      </w:r>
      <w:proofErr w:type="spellStart"/>
      <w:r w:rsidRPr="00B82431">
        <w:rPr>
          <w:rFonts w:ascii="Times New Roman" w:hAnsi="Times New Roman" w:cs="Times New Roman"/>
          <w:sz w:val="20"/>
          <w:szCs w:val="20"/>
        </w:rPr>
        <w:t>niosome</w:t>
      </w:r>
      <w:proofErr w:type="spellEnd"/>
      <w:r w:rsidRPr="00B82431">
        <w:rPr>
          <w:rFonts w:ascii="Times New Roman" w:hAnsi="Times New Roman" w:cs="Times New Roman"/>
          <w:sz w:val="20"/>
          <w:szCs w:val="20"/>
        </w:rPr>
        <w:t>-encapsulated SCE (</w:t>
      </w:r>
      <w:r w:rsidRPr="00B82431">
        <w:rPr>
          <w:rFonts w:ascii="Times New Roman" w:hAnsi="Times New Roman" w:cs="Times New Roman"/>
          <w:i/>
          <w:iCs/>
          <w:sz w:val="20"/>
          <w:szCs w:val="20"/>
        </w:rPr>
        <w:t>p</w:t>
      </w:r>
      <w:r w:rsidRPr="00B82431">
        <w:rPr>
          <w:rFonts w:ascii="Times New Roman" w:hAnsi="Times New Roman" w:cs="Times New Roman"/>
          <w:sz w:val="20"/>
          <w:szCs w:val="20"/>
        </w:rPr>
        <w:t xml:space="preserve">&lt;0.001). The survival rate of cancer cells after 72 hours of exposure </w:t>
      </w:r>
      <w:r w:rsidRPr="00B82431">
        <w:rPr>
          <w:rFonts w:ascii="Times New Roman" w:eastAsia="Calibri" w:hAnsi="Times New Roman" w:cs="Times New Roman"/>
          <w:sz w:val="20"/>
          <w:szCs w:val="20"/>
        </w:rPr>
        <w:t>to</w:t>
      </w:r>
      <w:r w:rsidRPr="00B82431">
        <w:rPr>
          <w:rFonts w:ascii="Times New Roman" w:hAnsi="Times New Roman" w:cs="Times New Roman"/>
          <w:sz w:val="20"/>
          <w:szCs w:val="20"/>
        </w:rPr>
        <w:t xml:space="preserve"> </w:t>
      </w:r>
      <w:proofErr w:type="spellStart"/>
      <w:r w:rsidRPr="00B82431">
        <w:rPr>
          <w:rFonts w:ascii="Times New Roman" w:hAnsi="Times New Roman" w:cs="Times New Roman"/>
          <w:sz w:val="20"/>
          <w:szCs w:val="20"/>
        </w:rPr>
        <w:t>niosome</w:t>
      </w:r>
      <w:proofErr w:type="spellEnd"/>
      <w:r w:rsidRPr="00B82431">
        <w:rPr>
          <w:rFonts w:ascii="Times New Roman" w:eastAsia="Calibri" w:hAnsi="Times New Roman" w:cs="Times New Roman"/>
          <w:sz w:val="20"/>
          <w:szCs w:val="20"/>
        </w:rPr>
        <w:t>-</w:t>
      </w:r>
      <w:r w:rsidRPr="00B82431">
        <w:rPr>
          <w:rFonts w:ascii="Times New Roman" w:hAnsi="Times New Roman" w:cs="Times New Roman"/>
          <w:sz w:val="20"/>
          <w:szCs w:val="20"/>
        </w:rPr>
        <w:t>encapsulated SCE was 40</w:t>
      </w:r>
      <w:r w:rsidR="00B82431">
        <w:rPr>
          <w:rFonts w:ascii="Times New Roman" w:hAnsi="Times New Roman" w:cs="Times New Roman"/>
          <w:sz w:val="20"/>
          <w:szCs w:val="20"/>
        </w:rPr>
        <w:t xml:space="preserve"> </w:t>
      </w:r>
      <w:r w:rsidRPr="00B82431">
        <w:rPr>
          <w:rFonts w:ascii="Times New Roman" w:hAnsi="Times New Roman" w:cs="Times New Roman"/>
          <w:sz w:val="20"/>
          <w:szCs w:val="20"/>
        </w:rPr>
        <w:t>±</w:t>
      </w:r>
      <w:r w:rsidR="00B82431">
        <w:rPr>
          <w:rFonts w:ascii="Times New Roman" w:hAnsi="Times New Roman" w:cs="Times New Roman"/>
          <w:sz w:val="20"/>
          <w:szCs w:val="20"/>
        </w:rPr>
        <w:t xml:space="preserve"> </w:t>
      </w:r>
      <w:r w:rsidRPr="00B82431">
        <w:rPr>
          <w:rFonts w:ascii="Times New Roman" w:hAnsi="Times New Roman" w:cs="Times New Roman"/>
          <w:sz w:val="20"/>
          <w:szCs w:val="20"/>
        </w:rPr>
        <w:t xml:space="preserve">3.0%. Encapsulated SCE in </w:t>
      </w:r>
      <w:proofErr w:type="spellStart"/>
      <w:r w:rsidRPr="00B82431">
        <w:rPr>
          <w:rFonts w:ascii="Times New Roman" w:eastAsia="Calibri" w:hAnsi="Times New Roman" w:cs="Times New Roman"/>
          <w:sz w:val="20"/>
          <w:szCs w:val="20"/>
        </w:rPr>
        <w:t>niosomes</w:t>
      </w:r>
      <w:proofErr w:type="spellEnd"/>
      <w:r w:rsidRPr="00B82431">
        <w:rPr>
          <w:rFonts w:ascii="Times New Roman" w:hAnsi="Times New Roman" w:cs="Times New Roman"/>
          <w:sz w:val="20"/>
          <w:szCs w:val="20"/>
        </w:rPr>
        <w:t xml:space="preserve"> inhibited cell progression in MCF-7 cells by increasing </w:t>
      </w:r>
      <w:r w:rsidRPr="00B82431">
        <w:rPr>
          <w:rFonts w:ascii="Times New Roman" w:eastAsia="Calibri" w:hAnsi="Times New Roman" w:cs="Times New Roman"/>
          <w:sz w:val="20"/>
          <w:szCs w:val="20"/>
        </w:rPr>
        <w:t xml:space="preserve">G0/G1 </w:t>
      </w:r>
      <w:r w:rsidRPr="00B82431">
        <w:rPr>
          <w:rFonts w:ascii="Times New Roman" w:hAnsi="Times New Roman" w:cs="Times New Roman"/>
          <w:sz w:val="20"/>
          <w:szCs w:val="20"/>
        </w:rPr>
        <w:t xml:space="preserve">and decreasing S phase relative to </w:t>
      </w:r>
      <w:r w:rsidRPr="00B82431">
        <w:rPr>
          <w:rFonts w:ascii="Times New Roman" w:eastAsia="Calibri" w:hAnsi="Times New Roman" w:cs="Times New Roman"/>
          <w:sz w:val="20"/>
          <w:szCs w:val="20"/>
        </w:rPr>
        <w:t xml:space="preserve">G2/M </w:t>
      </w:r>
      <w:r w:rsidRPr="00B82431">
        <w:rPr>
          <w:rFonts w:ascii="Times New Roman" w:hAnsi="Times New Roman" w:cs="Times New Roman"/>
          <w:sz w:val="20"/>
          <w:szCs w:val="20"/>
        </w:rPr>
        <w:t>phase; as a result, it activated the apoptosis signaling pathway and led to the induction of apoptosis in 69.12</w:t>
      </w:r>
      <w:r w:rsidR="00B82431">
        <w:rPr>
          <w:rFonts w:ascii="Times New Roman" w:hAnsi="Times New Roman" w:cs="Times New Roman"/>
          <w:sz w:val="20"/>
          <w:szCs w:val="20"/>
        </w:rPr>
        <w:t xml:space="preserve"> </w:t>
      </w:r>
      <w:r w:rsidRPr="00B82431">
        <w:rPr>
          <w:rFonts w:ascii="Times New Roman" w:hAnsi="Times New Roman" w:cs="Times New Roman"/>
          <w:sz w:val="20"/>
          <w:szCs w:val="20"/>
        </w:rPr>
        <w:t>±</w:t>
      </w:r>
      <w:r w:rsidR="00B82431">
        <w:rPr>
          <w:rFonts w:ascii="Times New Roman" w:hAnsi="Times New Roman" w:cs="Times New Roman"/>
          <w:sz w:val="20"/>
          <w:szCs w:val="20"/>
        </w:rPr>
        <w:t xml:space="preserve"> </w:t>
      </w:r>
      <w:r w:rsidRPr="00B82431">
        <w:rPr>
          <w:rFonts w:ascii="Times New Roman" w:hAnsi="Times New Roman" w:cs="Times New Roman"/>
          <w:sz w:val="20"/>
          <w:szCs w:val="20"/>
        </w:rPr>
        <w:t xml:space="preserve">1.2% of tumor cells by increasing the expression of </w:t>
      </w:r>
      <w:r w:rsidRPr="00B82431">
        <w:rPr>
          <w:rFonts w:ascii="Times New Roman" w:eastAsia="Calibri" w:hAnsi="Times New Roman" w:cs="Times New Roman"/>
          <w:sz w:val="20"/>
          <w:szCs w:val="20"/>
        </w:rPr>
        <w:t>proapoptotic</w:t>
      </w:r>
      <w:r w:rsidRPr="00B82431">
        <w:rPr>
          <w:rFonts w:ascii="Times New Roman" w:hAnsi="Times New Roman" w:cs="Times New Roman"/>
          <w:sz w:val="20"/>
          <w:szCs w:val="20"/>
        </w:rPr>
        <w:t xml:space="preserve"> genes (</w:t>
      </w:r>
      <w:r w:rsidRPr="00B82431">
        <w:rPr>
          <w:rFonts w:ascii="Times New Roman" w:hAnsi="Times New Roman" w:cs="Times New Roman"/>
          <w:i/>
          <w:iCs/>
          <w:sz w:val="20"/>
          <w:szCs w:val="20"/>
        </w:rPr>
        <w:t>p</w:t>
      </w:r>
      <w:r w:rsidRPr="00B82431">
        <w:rPr>
          <w:rFonts w:ascii="Times New Roman" w:hAnsi="Times New Roman" w:cs="Times New Roman"/>
          <w:sz w:val="20"/>
          <w:szCs w:val="20"/>
        </w:rPr>
        <w:t>&lt;0.001).</w:t>
      </w:r>
    </w:p>
    <w:p w:rsidR="00FD160F" w:rsidRPr="00B82431" w:rsidRDefault="00FD160F" w:rsidP="00B82431">
      <w:pPr>
        <w:spacing w:after="200" w:line="276" w:lineRule="auto"/>
        <w:jc w:val="both"/>
        <w:rPr>
          <w:rFonts w:ascii="Times New Roman" w:eastAsia="TimesNewRomanPSMT" w:hAnsi="Times New Roman" w:cs="Times New Roman"/>
          <w:sz w:val="20"/>
          <w:szCs w:val="20"/>
        </w:rPr>
      </w:pPr>
      <w:r w:rsidRPr="00B82431">
        <w:rPr>
          <w:rFonts w:ascii="Times New Roman" w:hAnsi="Times New Roman" w:cs="Times New Roman"/>
          <w:b/>
          <w:bCs/>
          <w:sz w:val="20"/>
          <w:szCs w:val="20"/>
        </w:rPr>
        <w:t>Conclusion</w:t>
      </w:r>
      <w:r w:rsidR="00B82431">
        <w:rPr>
          <w:rFonts w:ascii="Times New Roman" w:hAnsi="Times New Roman" w:cs="Times New Roman"/>
          <w:b/>
          <w:bCs/>
          <w:sz w:val="20"/>
          <w:szCs w:val="20"/>
        </w:rPr>
        <w:t>:</w:t>
      </w:r>
      <w:r w:rsidRPr="00B82431">
        <w:rPr>
          <w:rFonts w:ascii="Times New Roman" w:hAnsi="Times New Roman" w:cs="Times New Roman"/>
          <w:b/>
          <w:bCs/>
          <w:sz w:val="20"/>
          <w:szCs w:val="20"/>
        </w:rPr>
        <w:t xml:space="preserve"> </w:t>
      </w:r>
      <w:r w:rsidRPr="00B82431">
        <w:rPr>
          <w:rFonts w:ascii="Times New Roman" w:eastAsia="TimesNewRomanPSMT" w:hAnsi="Times New Roman" w:cs="Times New Roman"/>
          <w:sz w:val="20"/>
          <w:szCs w:val="20"/>
        </w:rPr>
        <w:t xml:space="preserve">The results indicate that sea cucumber species from the Persian Gulf are a promising source of natural chemicals with antibacterial and anticancer properties, paving the path for novel marine natural products to be discovered. This is the first demonstration that </w:t>
      </w:r>
      <w:proofErr w:type="spellStart"/>
      <w:r w:rsidRPr="00B82431">
        <w:rPr>
          <w:rFonts w:ascii="Times New Roman" w:hAnsi="Times New Roman" w:cs="Times New Roman"/>
          <w:sz w:val="20"/>
          <w:szCs w:val="20"/>
          <w:lang w:bidi="fa-IR"/>
        </w:rPr>
        <w:t>n</w:t>
      </w:r>
      <w:r w:rsidRPr="00B82431">
        <w:rPr>
          <w:rFonts w:ascii="Times New Roman" w:eastAsia="TimesNewRomanPSMT" w:hAnsi="Times New Roman" w:cs="Times New Roman"/>
          <w:sz w:val="20"/>
          <w:szCs w:val="20"/>
        </w:rPr>
        <w:t>iosome</w:t>
      </w:r>
      <w:proofErr w:type="spellEnd"/>
      <w:r w:rsidRPr="00B82431">
        <w:rPr>
          <w:rFonts w:ascii="Times New Roman" w:eastAsia="TimesNewRomanPSMT" w:hAnsi="Times New Roman" w:cs="Times New Roman"/>
          <w:sz w:val="20"/>
          <w:szCs w:val="20"/>
        </w:rPr>
        <w:t>-encapsulated SCE contains antibacterial and anticancer chemicals that, according to their specific characteristics, boost antitumor activity.</w:t>
      </w:r>
    </w:p>
    <w:p w:rsidR="00FD160F" w:rsidRDefault="00FD160F" w:rsidP="00B82431">
      <w:pPr>
        <w:autoSpaceDE w:val="0"/>
        <w:autoSpaceDN w:val="0"/>
        <w:adjustRightInd w:val="0"/>
        <w:spacing w:after="200" w:line="276" w:lineRule="auto"/>
        <w:jc w:val="both"/>
        <w:rPr>
          <w:rFonts w:ascii="Times New Roman" w:hAnsi="Times New Roman" w:cs="Times New Roman"/>
          <w:sz w:val="20"/>
          <w:szCs w:val="20"/>
        </w:rPr>
      </w:pPr>
      <w:r w:rsidRPr="00B82431">
        <w:rPr>
          <w:rFonts w:ascii="Times New Roman" w:hAnsi="Times New Roman" w:cs="Times New Roman"/>
          <w:b/>
          <w:bCs/>
          <w:sz w:val="20"/>
          <w:szCs w:val="20"/>
        </w:rPr>
        <w:t>Keywords</w:t>
      </w:r>
      <w:r w:rsidR="00B82431">
        <w:rPr>
          <w:rFonts w:ascii="Times New Roman" w:hAnsi="Times New Roman" w:cs="Times New Roman"/>
          <w:b/>
          <w:bCs/>
          <w:sz w:val="20"/>
          <w:szCs w:val="20"/>
        </w:rPr>
        <w:t>:</w:t>
      </w:r>
      <w:r w:rsidRPr="00B82431">
        <w:rPr>
          <w:rFonts w:ascii="Times New Roman" w:hAnsi="Times New Roman" w:cs="Times New Roman"/>
          <w:b/>
          <w:bCs/>
          <w:sz w:val="20"/>
          <w:szCs w:val="20"/>
        </w:rPr>
        <w:t xml:space="preserve"> </w:t>
      </w:r>
      <w:r w:rsidRPr="00B82431">
        <w:rPr>
          <w:rFonts w:ascii="Times New Roman" w:hAnsi="Times New Roman" w:cs="Times New Roman"/>
          <w:sz w:val="20"/>
          <w:szCs w:val="20"/>
        </w:rPr>
        <w:t xml:space="preserve">Sea </w:t>
      </w:r>
      <w:r w:rsidR="00B82431">
        <w:rPr>
          <w:rFonts w:ascii="Times New Roman" w:hAnsi="Times New Roman" w:cs="Times New Roman"/>
          <w:sz w:val="20"/>
          <w:szCs w:val="20"/>
        </w:rPr>
        <w:t>c</w:t>
      </w:r>
      <w:r w:rsidR="00B82431" w:rsidRPr="00B82431">
        <w:rPr>
          <w:rFonts w:ascii="Times New Roman" w:hAnsi="Times New Roman" w:cs="Times New Roman"/>
          <w:sz w:val="20"/>
          <w:szCs w:val="20"/>
        </w:rPr>
        <w:t xml:space="preserve">ucumber, </w:t>
      </w:r>
      <w:r w:rsidR="00B82431" w:rsidRPr="00B82431">
        <w:rPr>
          <w:rFonts w:ascii="Times New Roman" w:eastAsia="Calibri" w:hAnsi="Times New Roman" w:cs="Times New Roman"/>
          <w:sz w:val="20"/>
          <w:szCs w:val="20"/>
        </w:rPr>
        <w:t>Antibacterial, Anticancer</w:t>
      </w:r>
      <w:r w:rsidR="00B82431" w:rsidRPr="00B82431">
        <w:rPr>
          <w:rFonts w:ascii="Times New Roman" w:hAnsi="Times New Roman" w:cs="Times New Roman"/>
          <w:sz w:val="20"/>
          <w:szCs w:val="20"/>
        </w:rPr>
        <w:t xml:space="preserve">, Apoptosis, Gene </w:t>
      </w:r>
      <w:r w:rsidR="00B82431">
        <w:rPr>
          <w:rFonts w:ascii="Times New Roman" w:hAnsi="Times New Roman" w:cs="Times New Roman"/>
          <w:sz w:val="20"/>
          <w:szCs w:val="20"/>
        </w:rPr>
        <w:t>e</w:t>
      </w:r>
      <w:r w:rsidR="00B82431" w:rsidRPr="00B82431">
        <w:rPr>
          <w:rFonts w:ascii="Times New Roman" w:hAnsi="Times New Roman" w:cs="Times New Roman"/>
          <w:sz w:val="20"/>
          <w:szCs w:val="20"/>
        </w:rPr>
        <w:t>xpression</w:t>
      </w:r>
      <w:r w:rsidR="00B82431">
        <w:rPr>
          <w:rFonts w:ascii="Times New Roman" w:hAnsi="Times New Roman" w:cs="Times New Roman"/>
          <w:sz w:val="20"/>
          <w:szCs w:val="20"/>
        </w:rPr>
        <w:t>.</w:t>
      </w:r>
    </w:p>
    <w:p w:rsidR="00B82431" w:rsidRPr="00B82431" w:rsidRDefault="00B82431" w:rsidP="00B82431">
      <w:pPr>
        <w:autoSpaceDE w:val="0"/>
        <w:autoSpaceDN w:val="0"/>
        <w:adjustRightInd w:val="0"/>
        <w:spacing w:after="200" w:line="276" w:lineRule="auto"/>
        <w:rPr>
          <w:rFonts w:ascii="Times New Roman" w:hAnsi="Times New Roman" w:cs="Times New Roman"/>
          <w:b/>
          <w:sz w:val="24"/>
          <w:szCs w:val="20"/>
        </w:rPr>
      </w:pPr>
      <w:commentRangeStart w:id="2"/>
      <w:r w:rsidRPr="00B82431">
        <w:rPr>
          <w:rFonts w:ascii="Times New Roman" w:hAnsi="Times New Roman" w:cs="Times New Roman"/>
          <w:b/>
          <w:sz w:val="24"/>
          <w:szCs w:val="20"/>
        </w:rPr>
        <w:t>Biography</w:t>
      </w:r>
      <w:commentRangeEnd w:id="2"/>
      <w:r w:rsidR="00F465DA">
        <w:rPr>
          <w:rStyle w:val="CommentReference"/>
        </w:rPr>
        <w:commentReference w:id="2"/>
      </w:r>
    </w:p>
    <w:p w:rsidR="004D5871" w:rsidRPr="00B82431" w:rsidRDefault="004D5871" w:rsidP="00B82431">
      <w:pPr>
        <w:spacing w:after="200" w:line="276" w:lineRule="auto"/>
        <w:rPr>
          <w:rFonts w:ascii="Times New Roman" w:hAnsi="Times New Roman" w:cs="Times New Roman"/>
        </w:rPr>
      </w:pPr>
    </w:p>
    <w:sectPr w:rsidR="004D5871" w:rsidRPr="00B8243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7-15T16:15:00Z" w:initials="SS">
    <w:p w:rsidR="00382F2D" w:rsidRDefault="00382F2D">
      <w:pPr>
        <w:pStyle w:val="CommentText"/>
      </w:pPr>
      <w:r>
        <w:rPr>
          <w:rStyle w:val="CommentReference"/>
        </w:rPr>
        <w:annotationRef/>
      </w:r>
      <w:proofErr w:type="spellStart"/>
      <w:r w:rsidR="00F217E8" w:rsidRPr="000B231F">
        <w:rPr>
          <w:b/>
          <w:bCs/>
          <w:color w:val="0E101A"/>
        </w:rPr>
        <w:t>Tohid</w:t>
      </w:r>
      <w:proofErr w:type="spellEnd"/>
      <w:r w:rsidR="00F217E8" w:rsidRPr="000B231F">
        <w:rPr>
          <w:b/>
          <w:bCs/>
          <w:color w:val="0E101A"/>
        </w:rPr>
        <w:t xml:space="preserve"> </w:t>
      </w:r>
      <w:proofErr w:type="spellStart"/>
      <w:r w:rsidR="00F217E8" w:rsidRPr="000B231F">
        <w:rPr>
          <w:b/>
          <w:bCs/>
          <w:color w:val="0E101A"/>
        </w:rPr>
        <w:t>Piri-Gharaghie</w:t>
      </w:r>
      <w:proofErr w:type="spellEnd"/>
      <w:r w:rsidR="00F217E8">
        <w:t xml:space="preserve"> </w:t>
      </w:r>
      <w:r w:rsidR="00F217E8">
        <w:rPr>
          <w:color w:val="0E101A"/>
        </w:rPr>
        <w:t xml:space="preserve">Islamic Azad </w:t>
      </w:r>
      <w:proofErr w:type="gramStart"/>
      <w:r w:rsidR="00F217E8">
        <w:rPr>
          <w:color w:val="0E101A"/>
        </w:rPr>
        <w:t xml:space="preserve">University </w:t>
      </w:r>
      <w:r w:rsidR="00F217E8">
        <w:rPr>
          <w:color w:val="0E101A"/>
        </w:rPr>
        <w:t>,</w:t>
      </w:r>
      <w:proofErr w:type="gramEnd"/>
      <w:r w:rsidR="00F217E8">
        <w:rPr>
          <w:color w:val="0E101A"/>
        </w:rPr>
        <w:t>Iran.</w:t>
      </w:r>
      <w:r w:rsidR="00F217E8">
        <w:rPr>
          <w:color w:val="0E101A"/>
        </w:rPr>
        <w:t xml:space="preserve"> </w:t>
      </w:r>
    </w:p>
  </w:comment>
  <w:comment w:id="2" w:author="Swetha Sandala" w:date="2022-07-15T16:15:00Z" w:initials="SS">
    <w:p w:rsidR="00F217E8" w:rsidRPr="000E5E5F" w:rsidRDefault="00F465DA" w:rsidP="00F217E8">
      <w:pPr>
        <w:rPr>
          <w:rFonts w:asciiTheme="majorBidi" w:eastAsia="Times New Roman" w:hAnsiTheme="majorBidi" w:cstheme="majorBidi"/>
          <w:b/>
          <w:bCs/>
          <w:sz w:val="24"/>
          <w:szCs w:val="24"/>
        </w:rPr>
      </w:pPr>
      <w:r>
        <w:rPr>
          <w:rStyle w:val="CommentReference"/>
        </w:rPr>
        <w:annotationRef/>
      </w:r>
      <w:r w:rsidR="00F217E8" w:rsidRPr="000E5E5F">
        <w:rPr>
          <w:rFonts w:asciiTheme="majorBidi" w:hAnsiTheme="majorBidi" w:cstheme="majorBidi"/>
          <w:b/>
          <w:bCs/>
          <w:sz w:val="30"/>
          <w:szCs w:val="30"/>
        </w:rPr>
        <w:t>Biography</w:t>
      </w:r>
    </w:p>
    <w:tbl>
      <w:tblPr>
        <w:tblStyle w:val="TableGrid"/>
        <w:tblW w:w="0" w:type="auto"/>
        <w:tblLook w:val="04A0" w:firstRow="1" w:lastRow="0" w:firstColumn="1" w:lastColumn="0" w:noHBand="0" w:noVBand="1"/>
      </w:tblPr>
      <w:tblGrid>
        <w:gridCol w:w="9350"/>
      </w:tblGrid>
      <w:tr w:rsidR="00F217E8" w:rsidTr="00BF201D">
        <w:tc>
          <w:tcPr>
            <w:tcW w:w="9350" w:type="dxa"/>
          </w:tcPr>
          <w:p w:rsidR="00F217E8" w:rsidRDefault="00F217E8" w:rsidP="00BF201D">
            <w:pPr>
              <w:autoSpaceDE w:val="0"/>
              <w:autoSpaceDN w:val="0"/>
              <w:adjustRightInd w:val="0"/>
              <w:spacing w:before="10" w:after="10" w:line="276" w:lineRule="auto"/>
              <w:rPr>
                <w:rFonts w:ascii="Arial" w:hAnsi="Arial" w:cs="Arial"/>
                <w:sz w:val="23"/>
                <w:szCs w:val="23"/>
              </w:rPr>
            </w:pPr>
            <w:r w:rsidRPr="00A57131">
              <w:rPr>
                <w:rFonts w:ascii="Times New Roman" w:hAnsi="Times New Roman" w:cs="B Lotus"/>
                <w:b/>
                <w:noProof/>
                <w:color w:val="000000" w:themeColor="text1"/>
                <w:sz w:val="28"/>
                <w:szCs w:val="52"/>
              </w:rPr>
              <w:drawing>
                <wp:inline distT="0" distB="0" distL="0" distR="0" wp14:anchorId="21AA7C1F" wp14:editId="2468730D">
                  <wp:extent cx="1714500" cy="1714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p w:rsidR="00F217E8" w:rsidRDefault="00F217E8" w:rsidP="00BF201D">
            <w:pPr>
              <w:pStyle w:val="NormalWeb"/>
              <w:spacing w:before="0" w:beforeAutospacing="0" w:after="0" w:afterAutospacing="0"/>
              <w:ind w:firstLine="2999"/>
              <w:jc w:val="both"/>
              <w:rPr>
                <w:color w:val="0E101A"/>
              </w:rPr>
            </w:pPr>
            <w:proofErr w:type="spellStart"/>
            <w:r w:rsidRPr="000B231F">
              <w:rPr>
                <w:b/>
                <w:bCs/>
                <w:color w:val="0E101A"/>
              </w:rPr>
              <w:t>Tohid</w:t>
            </w:r>
            <w:proofErr w:type="spellEnd"/>
            <w:r w:rsidRPr="000B231F">
              <w:rPr>
                <w:b/>
                <w:bCs/>
                <w:color w:val="0E101A"/>
              </w:rPr>
              <w:t xml:space="preserve"> </w:t>
            </w:r>
            <w:proofErr w:type="spellStart"/>
            <w:r w:rsidRPr="000B231F">
              <w:rPr>
                <w:b/>
                <w:bCs/>
                <w:color w:val="0E101A"/>
              </w:rPr>
              <w:t>Piri-Gharaghie</w:t>
            </w:r>
            <w:proofErr w:type="spellEnd"/>
            <w:r>
              <w:rPr>
                <w:color w:val="0E101A"/>
              </w:rPr>
              <w:t xml:space="preserve">, Ph.D., Researcher, CEO of </w:t>
            </w:r>
            <w:proofErr w:type="spellStart"/>
            <w:r>
              <w:rPr>
                <w:color w:val="0E101A"/>
              </w:rPr>
              <w:t>Pir</w:t>
            </w:r>
            <w:proofErr w:type="spellEnd"/>
            <w:r>
              <w:rPr>
                <w:color w:val="0E101A"/>
              </w:rPr>
              <w:t xml:space="preserve"> </w:t>
            </w:r>
            <w:proofErr w:type="spellStart"/>
            <w:r>
              <w:rPr>
                <w:color w:val="0E101A"/>
              </w:rPr>
              <w:t>Ghahar</w:t>
            </w:r>
            <w:proofErr w:type="spellEnd"/>
            <w:r>
              <w:rPr>
                <w:color w:val="0E101A"/>
              </w:rPr>
              <w:t xml:space="preserve"> Aria Biotech Company. Research and Development Manager of Biotechnology Research Center, Microbial Biotechnology Laboratory, BIO3P company of </w:t>
            </w:r>
            <w:proofErr w:type="spellStart"/>
            <w:r>
              <w:rPr>
                <w:color w:val="0E101A"/>
              </w:rPr>
              <w:t>AmitisGen</w:t>
            </w:r>
            <w:proofErr w:type="spellEnd"/>
            <w:r>
              <w:rPr>
                <w:color w:val="0E101A"/>
              </w:rPr>
              <w:t xml:space="preserve"> Med TECH Group, Tehran, Iran, and Founder of Bio3P brand in Iran was born in </w:t>
            </w:r>
            <w:proofErr w:type="spellStart"/>
            <w:r>
              <w:rPr>
                <w:color w:val="0E101A"/>
              </w:rPr>
              <w:t>Orumiyeh</w:t>
            </w:r>
            <w:proofErr w:type="spellEnd"/>
            <w:r>
              <w:rPr>
                <w:color w:val="0E101A"/>
              </w:rPr>
              <w:t xml:space="preserve"> Iran. He started in education for Microbial Biotechnology for some years. Bachelor of Science, Agricultural Engineering – 2014 </w:t>
            </w:r>
            <w:proofErr w:type="spellStart"/>
            <w:r>
              <w:rPr>
                <w:color w:val="0E101A"/>
              </w:rPr>
              <w:t>Payam</w:t>
            </w:r>
            <w:proofErr w:type="spellEnd"/>
            <w:r>
              <w:rPr>
                <w:color w:val="0E101A"/>
              </w:rPr>
              <w:t xml:space="preserve"> Noor University </w:t>
            </w:r>
            <w:proofErr w:type="spellStart"/>
            <w:r>
              <w:rPr>
                <w:color w:val="0E101A"/>
              </w:rPr>
              <w:t>Shahindej</w:t>
            </w:r>
            <w:proofErr w:type="spellEnd"/>
            <w:r>
              <w:rPr>
                <w:color w:val="0E101A"/>
              </w:rPr>
              <w:t>, Master's degree in Microbial Biotechnology -2017 Islamic Azad University of East Tehran Branch, Iran. Bachelor of Science, </w:t>
            </w:r>
            <w:r>
              <w:rPr>
                <w:rStyle w:val="Emphasis"/>
                <w:color w:val="0E101A"/>
              </w:rPr>
              <w:t>HSE</w:t>
            </w:r>
            <w:r>
              <w:rPr>
                <w:color w:val="0E101A"/>
              </w:rPr>
              <w:t> (</w:t>
            </w:r>
            <w:r>
              <w:rPr>
                <w:rStyle w:val="Emphasis"/>
                <w:color w:val="0E101A"/>
              </w:rPr>
              <w:t>Health</w:t>
            </w:r>
            <w:r>
              <w:rPr>
                <w:color w:val="0E101A"/>
              </w:rPr>
              <w:t>, </w:t>
            </w:r>
            <w:r>
              <w:rPr>
                <w:rStyle w:val="Emphasis"/>
                <w:color w:val="0E101A"/>
              </w:rPr>
              <w:t>Safety, and Environment</w:t>
            </w:r>
            <w:r>
              <w:rPr>
                <w:color w:val="0E101A"/>
              </w:rPr>
              <w:t xml:space="preserve">) program – 2021, and Ph.D. in psychology, Microbial Biotechnology- 2022 Islamic Azad University of </w:t>
            </w:r>
            <w:proofErr w:type="spellStart"/>
            <w:r>
              <w:rPr>
                <w:color w:val="0E101A"/>
              </w:rPr>
              <w:t>Shahrekord</w:t>
            </w:r>
            <w:proofErr w:type="spellEnd"/>
            <w:r>
              <w:rPr>
                <w:color w:val="0E101A"/>
              </w:rPr>
              <w:t xml:space="preserve"> Branch, Iran. Over 5 years of Research in the field of biotechnology, with inpatients and outpatients, treating various disorders such as endocarditis, bacteremia, and valuable research in the field of identification of MDR bacteria, synthesis of nanoparticles, encapsulation of drugs and extracts in nanoparticles, drug delivery systems, gene vaccines, reverse </w:t>
            </w:r>
            <w:proofErr w:type="spellStart"/>
            <w:r>
              <w:rPr>
                <w:color w:val="0E101A"/>
              </w:rPr>
              <w:t>vaccinology</w:t>
            </w:r>
            <w:proofErr w:type="spellEnd"/>
            <w:r>
              <w:rPr>
                <w:color w:val="0E101A"/>
              </w:rPr>
              <w:t xml:space="preserve"> and </w:t>
            </w:r>
            <w:proofErr w:type="spellStart"/>
            <w:r>
              <w:rPr>
                <w:color w:val="0E101A"/>
              </w:rPr>
              <w:t>nano</w:t>
            </w:r>
            <w:proofErr w:type="spellEnd"/>
            <w:r>
              <w:rPr>
                <w:color w:val="0E101A"/>
              </w:rPr>
              <w:t xml:space="preserve">-vaccines. Iran's top researcher of 2018 at the ICB2018 International Congress. Top young speaker of microbiology congress in Tehran. Health expert of South Pars Petrochemical Company 2016, director of research and development of </w:t>
            </w:r>
            <w:proofErr w:type="spellStart"/>
            <w:r>
              <w:rPr>
                <w:color w:val="0E101A"/>
              </w:rPr>
              <w:t>Amitis</w:t>
            </w:r>
            <w:proofErr w:type="spellEnd"/>
            <w:r>
              <w:rPr>
                <w:color w:val="0E101A"/>
              </w:rPr>
              <w:t xml:space="preserve"> Gene Company 2022.</w:t>
            </w:r>
          </w:p>
          <w:p w:rsidR="00F217E8" w:rsidRDefault="00F217E8" w:rsidP="00BF201D">
            <w:pPr>
              <w:autoSpaceDE w:val="0"/>
              <w:autoSpaceDN w:val="0"/>
              <w:adjustRightInd w:val="0"/>
              <w:rPr>
                <w:rFonts w:ascii="Times New Roman" w:hAnsi="Times New Roman" w:cs="B Lotus"/>
                <w:color w:val="000000"/>
                <w:sz w:val="20"/>
                <w:szCs w:val="20"/>
              </w:rPr>
            </w:pPr>
          </w:p>
          <w:p w:rsidR="00F217E8" w:rsidRPr="0013629A" w:rsidRDefault="00F217E8" w:rsidP="0013629A">
            <w:pPr>
              <w:autoSpaceDE w:val="0"/>
              <w:autoSpaceDN w:val="0"/>
              <w:adjustRightInd w:val="0"/>
              <w:rPr>
                <w:rFonts w:ascii="Times New Roman" w:hAnsi="Times New Roman" w:cs="B Lotus"/>
                <w:color w:val="000000"/>
                <w:sz w:val="20"/>
                <w:szCs w:val="20"/>
              </w:rPr>
            </w:pPr>
            <w:r w:rsidRPr="0094762F">
              <w:rPr>
                <w:rFonts w:ascii="Times New Roman" w:hAnsi="Times New Roman" w:cs="B Lotus"/>
                <w:color w:val="000000"/>
                <w:sz w:val="20"/>
                <w:szCs w:val="20"/>
              </w:rPr>
              <w:t>Research and Development Manager</w:t>
            </w:r>
            <w:r>
              <w:rPr>
                <w:rFonts w:ascii="Times New Roman" w:hAnsi="Times New Roman" w:cs="B Lotus"/>
                <w:color w:val="000000"/>
                <w:sz w:val="20"/>
                <w:szCs w:val="20"/>
              </w:rPr>
              <w:t xml:space="preserve"> of </w:t>
            </w:r>
            <w:r w:rsidRPr="005A7F7C">
              <w:rPr>
                <w:rFonts w:ascii="Times New Roman" w:hAnsi="Times New Roman" w:cs="B Lotus"/>
                <w:color w:val="000000"/>
                <w:sz w:val="20"/>
                <w:szCs w:val="20"/>
              </w:rPr>
              <w:t xml:space="preserve">Biotechnology Research Center, Microbial Biotechnology Laboratory, </w:t>
            </w:r>
            <w:proofErr w:type="gramStart"/>
            <w:r w:rsidRPr="005A7F7C">
              <w:rPr>
                <w:rFonts w:ascii="Times New Roman" w:hAnsi="Times New Roman" w:cs="B Lotus"/>
                <w:color w:val="000000"/>
                <w:sz w:val="20"/>
                <w:szCs w:val="20"/>
              </w:rPr>
              <w:t>BIO3P</w:t>
            </w:r>
            <w:proofErr w:type="gramEnd"/>
            <w:r w:rsidRPr="005A7F7C">
              <w:rPr>
                <w:rFonts w:ascii="Times New Roman" w:hAnsi="Times New Roman" w:cs="B Lotus"/>
                <w:color w:val="000000"/>
                <w:sz w:val="20"/>
                <w:szCs w:val="20"/>
              </w:rPr>
              <w:t xml:space="preserve"> company of </w:t>
            </w:r>
            <w:proofErr w:type="spellStart"/>
            <w:r w:rsidRPr="005A7F7C">
              <w:rPr>
                <w:rFonts w:ascii="Times New Roman" w:hAnsi="Times New Roman" w:cs="B Lotus"/>
                <w:color w:val="000000"/>
                <w:sz w:val="20"/>
                <w:szCs w:val="20"/>
              </w:rPr>
              <w:t>AmitisGen</w:t>
            </w:r>
            <w:proofErr w:type="spellEnd"/>
            <w:r w:rsidRPr="005A7F7C">
              <w:rPr>
                <w:rFonts w:ascii="Times New Roman" w:hAnsi="Times New Roman" w:cs="B Lotus"/>
                <w:color w:val="000000"/>
                <w:sz w:val="20"/>
                <w:szCs w:val="20"/>
              </w:rPr>
              <w:t xml:space="preserve"> Med TECH Group, Tehran, Iran.</w:t>
            </w:r>
            <w:bookmarkStart w:id="3" w:name="_GoBack"/>
            <w:bookmarkEnd w:id="3"/>
          </w:p>
        </w:tc>
      </w:tr>
    </w:tbl>
    <w:p w:rsidR="00F465DA" w:rsidRDefault="00F465DA">
      <w:pPr>
        <w:pStyle w:val="CommentText"/>
      </w:pPr>
      <w:proofErr w:type="gramStart"/>
      <w:r>
        <w:t>biography</w:t>
      </w:r>
      <w:proofErr w:type="gramEnd"/>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Yu Gothic"/>
    <w:panose1 w:val="00000000000000000000"/>
    <w:charset w:val="00"/>
    <w:family w:val="swiss"/>
    <w:notTrueType/>
    <w:pitch w:val="default"/>
    <w:sig w:usb0="00000003" w:usb1="00000000" w:usb2="00000000" w:usb3="00000000" w:csb0="00000001" w:csb1="00000000"/>
  </w:font>
  <w:font w:name="B Lotus">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60F"/>
    <w:rsid w:val="00382F2D"/>
    <w:rsid w:val="004D5871"/>
    <w:rsid w:val="006270B3"/>
    <w:rsid w:val="00750388"/>
    <w:rsid w:val="00B33723"/>
    <w:rsid w:val="00B51EC2"/>
    <w:rsid w:val="00B82431"/>
    <w:rsid w:val="00E53F81"/>
    <w:rsid w:val="00F217E8"/>
    <w:rsid w:val="00F465DA"/>
    <w:rsid w:val="00FD16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ind w:left="283" w:hanging="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60F"/>
    <w:pPr>
      <w:ind w:left="0"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D160F"/>
    <w:rPr>
      <w:i/>
      <w:iCs/>
    </w:rPr>
  </w:style>
  <w:style w:type="character" w:styleId="CommentReference">
    <w:name w:val="annotation reference"/>
    <w:basedOn w:val="DefaultParagraphFont"/>
    <w:uiPriority w:val="99"/>
    <w:semiHidden/>
    <w:unhideWhenUsed/>
    <w:rsid w:val="00F465DA"/>
    <w:rPr>
      <w:sz w:val="16"/>
      <w:szCs w:val="16"/>
    </w:rPr>
  </w:style>
  <w:style w:type="paragraph" w:styleId="CommentText">
    <w:name w:val="annotation text"/>
    <w:basedOn w:val="Normal"/>
    <w:link w:val="CommentTextChar"/>
    <w:uiPriority w:val="99"/>
    <w:semiHidden/>
    <w:unhideWhenUsed/>
    <w:rsid w:val="00F465DA"/>
    <w:pPr>
      <w:spacing w:line="240" w:lineRule="auto"/>
    </w:pPr>
    <w:rPr>
      <w:sz w:val="20"/>
      <w:szCs w:val="20"/>
    </w:rPr>
  </w:style>
  <w:style w:type="character" w:customStyle="1" w:styleId="CommentTextChar">
    <w:name w:val="Comment Text Char"/>
    <w:basedOn w:val="DefaultParagraphFont"/>
    <w:link w:val="CommentText"/>
    <w:uiPriority w:val="99"/>
    <w:semiHidden/>
    <w:rsid w:val="00F465DA"/>
    <w:rPr>
      <w:sz w:val="20"/>
      <w:szCs w:val="20"/>
    </w:rPr>
  </w:style>
  <w:style w:type="paragraph" w:styleId="CommentSubject">
    <w:name w:val="annotation subject"/>
    <w:basedOn w:val="CommentText"/>
    <w:next w:val="CommentText"/>
    <w:link w:val="CommentSubjectChar"/>
    <w:uiPriority w:val="99"/>
    <w:semiHidden/>
    <w:unhideWhenUsed/>
    <w:rsid w:val="00F465DA"/>
    <w:rPr>
      <w:b/>
      <w:bCs/>
    </w:rPr>
  </w:style>
  <w:style w:type="character" w:customStyle="1" w:styleId="CommentSubjectChar">
    <w:name w:val="Comment Subject Char"/>
    <w:basedOn w:val="CommentTextChar"/>
    <w:link w:val="CommentSubject"/>
    <w:uiPriority w:val="99"/>
    <w:semiHidden/>
    <w:rsid w:val="00F465DA"/>
    <w:rPr>
      <w:b/>
      <w:bCs/>
      <w:sz w:val="20"/>
      <w:szCs w:val="20"/>
    </w:rPr>
  </w:style>
  <w:style w:type="paragraph" w:styleId="BalloonText">
    <w:name w:val="Balloon Text"/>
    <w:basedOn w:val="Normal"/>
    <w:link w:val="BalloonTextChar"/>
    <w:uiPriority w:val="99"/>
    <w:semiHidden/>
    <w:unhideWhenUsed/>
    <w:rsid w:val="00F465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5DA"/>
    <w:rPr>
      <w:rFonts w:ascii="Tahoma" w:hAnsi="Tahoma" w:cs="Tahoma"/>
      <w:sz w:val="16"/>
      <w:szCs w:val="16"/>
    </w:rPr>
  </w:style>
  <w:style w:type="table" w:styleId="TableGrid">
    <w:name w:val="Table Grid"/>
    <w:basedOn w:val="TableNormal"/>
    <w:uiPriority w:val="39"/>
    <w:rsid w:val="00F217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217E8"/>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F217E8"/>
    <w:pPr>
      <w:spacing w:after="0" w:line="240" w:lineRule="auto"/>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ind w:left="283" w:hanging="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160F"/>
    <w:pPr>
      <w:ind w:left="0"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D160F"/>
    <w:rPr>
      <w:i/>
      <w:iCs/>
    </w:rPr>
  </w:style>
  <w:style w:type="character" w:styleId="CommentReference">
    <w:name w:val="annotation reference"/>
    <w:basedOn w:val="DefaultParagraphFont"/>
    <w:uiPriority w:val="99"/>
    <w:semiHidden/>
    <w:unhideWhenUsed/>
    <w:rsid w:val="00F465DA"/>
    <w:rPr>
      <w:sz w:val="16"/>
      <w:szCs w:val="16"/>
    </w:rPr>
  </w:style>
  <w:style w:type="paragraph" w:styleId="CommentText">
    <w:name w:val="annotation text"/>
    <w:basedOn w:val="Normal"/>
    <w:link w:val="CommentTextChar"/>
    <w:uiPriority w:val="99"/>
    <w:semiHidden/>
    <w:unhideWhenUsed/>
    <w:rsid w:val="00F465DA"/>
    <w:pPr>
      <w:spacing w:line="240" w:lineRule="auto"/>
    </w:pPr>
    <w:rPr>
      <w:sz w:val="20"/>
      <w:szCs w:val="20"/>
    </w:rPr>
  </w:style>
  <w:style w:type="character" w:customStyle="1" w:styleId="CommentTextChar">
    <w:name w:val="Comment Text Char"/>
    <w:basedOn w:val="DefaultParagraphFont"/>
    <w:link w:val="CommentText"/>
    <w:uiPriority w:val="99"/>
    <w:semiHidden/>
    <w:rsid w:val="00F465DA"/>
    <w:rPr>
      <w:sz w:val="20"/>
      <w:szCs w:val="20"/>
    </w:rPr>
  </w:style>
  <w:style w:type="paragraph" w:styleId="CommentSubject">
    <w:name w:val="annotation subject"/>
    <w:basedOn w:val="CommentText"/>
    <w:next w:val="CommentText"/>
    <w:link w:val="CommentSubjectChar"/>
    <w:uiPriority w:val="99"/>
    <w:semiHidden/>
    <w:unhideWhenUsed/>
    <w:rsid w:val="00F465DA"/>
    <w:rPr>
      <w:b/>
      <w:bCs/>
    </w:rPr>
  </w:style>
  <w:style w:type="character" w:customStyle="1" w:styleId="CommentSubjectChar">
    <w:name w:val="Comment Subject Char"/>
    <w:basedOn w:val="CommentTextChar"/>
    <w:link w:val="CommentSubject"/>
    <w:uiPriority w:val="99"/>
    <w:semiHidden/>
    <w:rsid w:val="00F465DA"/>
    <w:rPr>
      <w:b/>
      <w:bCs/>
      <w:sz w:val="20"/>
      <w:szCs w:val="20"/>
    </w:rPr>
  </w:style>
  <w:style w:type="paragraph" w:styleId="BalloonText">
    <w:name w:val="Balloon Text"/>
    <w:basedOn w:val="Normal"/>
    <w:link w:val="BalloonTextChar"/>
    <w:uiPriority w:val="99"/>
    <w:semiHidden/>
    <w:unhideWhenUsed/>
    <w:rsid w:val="00F465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65DA"/>
    <w:rPr>
      <w:rFonts w:ascii="Tahoma" w:hAnsi="Tahoma" w:cs="Tahoma"/>
      <w:sz w:val="16"/>
      <w:szCs w:val="16"/>
    </w:rPr>
  </w:style>
  <w:style w:type="table" w:styleId="TableGrid">
    <w:name w:val="Table Grid"/>
    <w:basedOn w:val="TableNormal"/>
    <w:uiPriority w:val="39"/>
    <w:rsid w:val="00F217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217E8"/>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F217E8"/>
    <w:pPr>
      <w:spacing w:after="0" w:line="240" w:lineRule="auto"/>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image" Target="media/image1.jpeg"/></Relationship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nasim</dc:creator>
  <cp:lastModifiedBy>Clinical And Medical Case Reports</cp:lastModifiedBy>
  <cp:revision>2</cp:revision>
  <dcterms:created xsi:type="dcterms:W3CDTF">2022-07-15T10:45:00Z</dcterms:created>
  <dcterms:modified xsi:type="dcterms:W3CDTF">2022-07-15T10:45:00Z</dcterms:modified>
</cp:coreProperties>
</file>