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629" w:rsidRPr="007D0629" w:rsidRDefault="007D0629" w:rsidP="007D0629">
      <w:pPr>
        <w:rPr>
          <w:rFonts w:ascii="Times New Roman" w:hAnsi="Times New Roman" w:cs="Times New Roman"/>
          <w:b/>
          <w:sz w:val="32"/>
        </w:rPr>
      </w:pPr>
      <w:bookmarkStart w:id="0" w:name="_GoBack"/>
      <w:r w:rsidRPr="007D0629">
        <w:rPr>
          <w:rFonts w:ascii="Times New Roman" w:hAnsi="Times New Roman" w:cs="Times New Roman"/>
          <w:b/>
          <w:sz w:val="32"/>
        </w:rPr>
        <w:t xml:space="preserve">Enhancing thermoelectric properties of conductive polymers using </w:t>
      </w:r>
      <w:proofErr w:type="spellStart"/>
      <w:r w:rsidRPr="007D0629">
        <w:rPr>
          <w:rFonts w:ascii="Times New Roman" w:hAnsi="Times New Roman" w:cs="Times New Roman"/>
          <w:b/>
          <w:sz w:val="32"/>
        </w:rPr>
        <w:t>Zr</w:t>
      </w:r>
      <w:proofErr w:type="spellEnd"/>
      <w:r w:rsidRPr="007D0629">
        <w:rPr>
          <w:rFonts w:ascii="Times New Roman" w:hAnsi="Times New Roman" w:cs="Times New Roman"/>
          <w:b/>
          <w:sz w:val="32"/>
        </w:rPr>
        <w:t xml:space="preserve">-metal-organic frameworks composite materials </w:t>
      </w:r>
    </w:p>
    <w:p w:rsidR="007D0629" w:rsidRPr="007D0629" w:rsidRDefault="007D0629" w:rsidP="007D0629">
      <w:pPr>
        <w:rPr>
          <w:rFonts w:ascii="Times New Roman" w:hAnsi="Times New Roman" w:cs="Times New Roman"/>
          <w:sz w:val="24"/>
        </w:rPr>
      </w:pPr>
      <w:proofErr w:type="spellStart"/>
      <w:r w:rsidRPr="007D0629">
        <w:rPr>
          <w:rFonts w:ascii="Times New Roman" w:hAnsi="Times New Roman" w:cs="Times New Roman"/>
          <w:sz w:val="24"/>
        </w:rPr>
        <w:t>Asmaa</w:t>
      </w:r>
      <w:proofErr w:type="spellEnd"/>
      <w:r w:rsidRPr="007D0629">
        <w:rPr>
          <w:rFonts w:ascii="Times New Roman" w:hAnsi="Times New Roman" w:cs="Times New Roman"/>
          <w:sz w:val="24"/>
        </w:rPr>
        <w:t xml:space="preserve"> </w:t>
      </w:r>
      <w:proofErr w:type="spellStart"/>
      <w:r w:rsidRPr="007D0629">
        <w:rPr>
          <w:rFonts w:ascii="Times New Roman" w:hAnsi="Times New Roman" w:cs="Times New Roman"/>
          <w:sz w:val="24"/>
        </w:rPr>
        <w:t>Ebrahim</w:t>
      </w:r>
      <w:proofErr w:type="spellEnd"/>
      <w:r>
        <w:rPr>
          <w:rFonts w:ascii="Times New Roman" w:hAnsi="Times New Roman" w:cs="Times New Roman"/>
          <w:sz w:val="24"/>
        </w:rPr>
        <w:t>*</w:t>
      </w:r>
      <w:r w:rsidRPr="007D0629">
        <w:rPr>
          <w:rFonts w:ascii="Times New Roman" w:hAnsi="Times New Roman" w:cs="Times New Roman"/>
          <w:sz w:val="24"/>
        </w:rPr>
        <w:t xml:space="preserve">, Mohsen </w:t>
      </w:r>
      <w:proofErr w:type="spellStart"/>
      <w:r w:rsidRPr="007D0629">
        <w:rPr>
          <w:rFonts w:ascii="Times New Roman" w:hAnsi="Times New Roman" w:cs="Times New Roman"/>
          <w:sz w:val="24"/>
        </w:rPr>
        <w:t>Ghali</w:t>
      </w:r>
      <w:proofErr w:type="spellEnd"/>
      <w:r w:rsidRPr="007D0629">
        <w:rPr>
          <w:rFonts w:ascii="Times New Roman" w:hAnsi="Times New Roman" w:cs="Times New Roman"/>
          <w:sz w:val="24"/>
        </w:rPr>
        <w:t xml:space="preserve"> and Ahmed </w:t>
      </w:r>
      <w:proofErr w:type="spellStart"/>
      <w:r w:rsidRPr="007D0629">
        <w:rPr>
          <w:rFonts w:ascii="Times New Roman" w:hAnsi="Times New Roman" w:cs="Times New Roman"/>
          <w:sz w:val="24"/>
        </w:rPr>
        <w:t>Abdelmoniem</w:t>
      </w:r>
      <w:proofErr w:type="spellEnd"/>
      <w:r w:rsidRPr="007D0629">
        <w:rPr>
          <w:rFonts w:ascii="Times New Roman" w:hAnsi="Times New Roman" w:cs="Times New Roman"/>
          <w:sz w:val="24"/>
        </w:rPr>
        <w:t xml:space="preserve"> </w:t>
      </w:r>
    </w:p>
    <w:p w:rsidR="007D0629" w:rsidRPr="007D0629" w:rsidRDefault="007D0629" w:rsidP="007D0629">
      <w:pPr>
        <w:rPr>
          <w:rFonts w:ascii="Times New Roman" w:hAnsi="Times New Roman" w:cs="Times New Roman"/>
        </w:rPr>
      </w:pPr>
      <w:r w:rsidRPr="007D0629">
        <w:rPr>
          <w:rFonts w:ascii="Times New Roman" w:hAnsi="Times New Roman" w:cs="Times New Roman"/>
        </w:rPr>
        <w:t xml:space="preserve">Egypt-Japan University of Science and Technology, Egypt </w:t>
      </w:r>
    </w:p>
    <w:p w:rsidR="007D0629" w:rsidRPr="007D0629" w:rsidRDefault="007D0629" w:rsidP="007D0629">
      <w:pPr>
        <w:jc w:val="center"/>
        <w:rPr>
          <w:rFonts w:ascii="Times New Roman" w:hAnsi="Times New Roman" w:cs="Times New Roman"/>
          <w:b/>
          <w:sz w:val="24"/>
        </w:rPr>
      </w:pPr>
      <w:r w:rsidRPr="007D0629">
        <w:rPr>
          <w:rFonts w:ascii="Times New Roman" w:hAnsi="Times New Roman" w:cs="Times New Roman"/>
          <w:b/>
          <w:sz w:val="24"/>
        </w:rPr>
        <w:t>Abstract</w:t>
      </w:r>
    </w:p>
    <w:p w:rsidR="007D0629" w:rsidRPr="007D0629" w:rsidRDefault="007D0629" w:rsidP="007D0629">
      <w:pPr>
        <w:jc w:val="both"/>
        <w:rPr>
          <w:rFonts w:ascii="Times New Roman" w:hAnsi="Times New Roman" w:cs="Times New Roman"/>
          <w:sz w:val="20"/>
        </w:rPr>
      </w:pPr>
      <w:r w:rsidRPr="007D0629">
        <w:rPr>
          <w:rFonts w:ascii="Times New Roman" w:hAnsi="Times New Roman" w:cs="Times New Roman"/>
          <w:sz w:val="20"/>
        </w:rPr>
        <w:t xml:space="preserve">Thermo-Electric Generators (TEGs) that can directly convert waste heat into electricity, have many advantages over traditional electricity generators because they are considered as environment friendly, have no moving parts, have high scalability, which means they can be applied to heat source of any size. The thermoelectric performance of a material is evaluated by the dimensionless figure of merit ZT=α 2 </w:t>
      </w:r>
      <w:proofErr w:type="spellStart"/>
      <w:r w:rsidRPr="007D0629">
        <w:rPr>
          <w:rFonts w:ascii="Times New Roman" w:hAnsi="Times New Roman" w:cs="Times New Roman"/>
          <w:sz w:val="20"/>
        </w:rPr>
        <w:t>σT</w:t>
      </w:r>
      <w:proofErr w:type="spellEnd"/>
      <w:r w:rsidRPr="007D0629">
        <w:rPr>
          <w:rFonts w:ascii="Times New Roman" w:hAnsi="Times New Roman" w:cs="Times New Roman"/>
          <w:sz w:val="20"/>
        </w:rPr>
        <w:t xml:space="preserve">/k, where α is the </w:t>
      </w:r>
      <w:proofErr w:type="spellStart"/>
      <w:r w:rsidRPr="007D0629">
        <w:rPr>
          <w:rFonts w:ascii="Times New Roman" w:hAnsi="Times New Roman" w:cs="Times New Roman"/>
          <w:sz w:val="20"/>
        </w:rPr>
        <w:t>Seebeck</w:t>
      </w:r>
      <w:proofErr w:type="spellEnd"/>
      <w:r w:rsidRPr="007D0629">
        <w:rPr>
          <w:rFonts w:ascii="Times New Roman" w:hAnsi="Times New Roman" w:cs="Times New Roman"/>
          <w:sz w:val="20"/>
        </w:rPr>
        <w:t xml:space="preserve"> coefficient, T is the absolute temperature, σ is the electrical conductivity and k is the thermal conductivity. So decreasing the thermal conductivity (k) of the material is a critical issue to improve its performance. TEGs are possible devices using for power generation for implantable devices such as Glucose monitor, Drug pump, Cochlear implant and many other devices. The power requirements for most of the implantable devices ranging from 30 </w:t>
      </w:r>
      <w:proofErr w:type="spellStart"/>
      <w:r w:rsidRPr="007D0629">
        <w:rPr>
          <w:rFonts w:ascii="Times New Roman" w:hAnsi="Times New Roman" w:cs="Times New Roman"/>
          <w:sz w:val="20"/>
        </w:rPr>
        <w:t>μW</w:t>
      </w:r>
      <w:proofErr w:type="spellEnd"/>
      <w:r w:rsidRPr="007D0629">
        <w:rPr>
          <w:rFonts w:ascii="Times New Roman" w:hAnsi="Times New Roman" w:cs="Times New Roman"/>
          <w:sz w:val="20"/>
        </w:rPr>
        <w:t xml:space="preserve">–2 </w:t>
      </w:r>
      <w:proofErr w:type="spellStart"/>
      <w:r w:rsidRPr="007D0629">
        <w:rPr>
          <w:rFonts w:ascii="Times New Roman" w:hAnsi="Times New Roman" w:cs="Times New Roman"/>
          <w:sz w:val="20"/>
        </w:rPr>
        <w:t>mW</w:t>
      </w:r>
      <w:proofErr w:type="spellEnd"/>
      <w:r w:rsidRPr="007D0629">
        <w:rPr>
          <w:rFonts w:ascii="Times New Roman" w:hAnsi="Times New Roman" w:cs="Times New Roman"/>
          <w:sz w:val="20"/>
        </w:rPr>
        <w:t xml:space="preserve">, which can be provided by TEGs from the human’s body heat. </w:t>
      </w:r>
    </w:p>
    <w:p w:rsidR="007D0629" w:rsidRPr="007D0629" w:rsidRDefault="007D0629" w:rsidP="007D0629">
      <w:pPr>
        <w:jc w:val="both"/>
        <w:rPr>
          <w:rFonts w:ascii="Times New Roman" w:hAnsi="Times New Roman" w:cs="Times New Roman"/>
          <w:sz w:val="20"/>
        </w:rPr>
      </w:pPr>
      <w:proofErr w:type="spellStart"/>
      <w:r w:rsidRPr="007D0629">
        <w:rPr>
          <w:rFonts w:ascii="Times New Roman" w:hAnsi="Times New Roman" w:cs="Times New Roman"/>
          <w:sz w:val="20"/>
        </w:rPr>
        <w:t>Polypyrrole</w:t>
      </w:r>
      <w:proofErr w:type="spellEnd"/>
      <w:r w:rsidRPr="007D0629">
        <w:rPr>
          <w:rFonts w:ascii="Times New Roman" w:hAnsi="Times New Roman" w:cs="Times New Roman"/>
          <w:sz w:val="20"/>
        </w:rPr>
        <w:t xml:space="preserve">, a conducting polymer, attracts most of the attention due to its ease of preparation, high thermal and environmental stability and biocompatibility, which make it a good candidate for implantable TEGs. Most of Metal-Organic Frameworks (MOFs) are considered as insulator with low thermal conductivity and high stability and biocompatibility. MOFs are intrinsically porous that in turn can scatter phonons through the material. </w:t>
      </w:r>
    </w:p>
    <w:p w:rsidR="007D0629" w:rsidRPr="007D0629" w:rsidRDefault="007D0629" w:rsidP="007D0629">
      <w:pPr>
        <w:jc w:val="both"/>
        <w:rPr>
          <w:rFonts w:ascii="Times New Roman" w:hAnsi="Times New Roman" w:cs="Times New Roman"/>
          <w:sz w:val="20"/>
        </w:rPr>
      </w:pPr>
      <w:r w:rsidRPr="007D0629">
        <w:rPr>
          <w:rFonts w:ascii="Times New Roman" w:hAnsi="Times New Roman" w:cs="Times New Roman"/>
          <w:b/>
          <w:sz w:val="20"/>
        </w:rPr>
        <w:t>Conclusion:</w:t>
      </w:r>
      <w:r w:rsidRPr="007D0629">
        <w:rPr>
          <w:rFonts w:ascii="Times New Roman" w:hAnsi="Times New Roman" w:cs="Times New Roman"/>
          <w:sz w:val="20"/>
        </w:rPr>
        <w:t xml:space="preserve"> Controlling the polymerization of </w:t>
      </w:r>
      <w:proofErr w:type="spellStart"/>
      <w:r w:rsidRPr="007D0629">
        <w:rPr>
          <w:rFonts w:ascii="Times New Roman" w:hAnsi="Times New Roman" w:cs="Times New Roman"/>
          <w:sz w:val="20"/>
        </w:rPr>
        <w:t>Polypyrrole</w:t>
      </w:r>
      <w:proofErr w:type="spellEnd"/>
      <w:r w:rsidRPr="007D0629">
        <w:rPr>
          <w:rFonts w:ascii="Times New Roman" w:hAnsi="Times New Roman" w:cs="Times New Roman"/>
          <w:sz w:val="20"/>
        </w:rPr>
        <w:t xml:space="preserve"> (</w:t>
      </w:r>
      <w:proofErr w:type="spellStart"/>
      <w:r w:rsidRPr="007D0629">
        <w:rPr>
          <w:rFonts w:ascii="Times New Roman" w:hAnsi="Times New Roman" w:cs="Times New Roman"/>
          <w:sz w:val="20"/>
        </w:rPr>
        <w:t>Ppy</w:t>
      </w:r>
      <w:proofErr w:type="spellEnd"/>
      <w:r w:rsidRPr="007D0629">
        <w:rPr>
          <w:rFonts w:ascii="Times New Roman" w:hAnsi="Times New Roman" w:cs="Times New Roman"/>
          <w:sz w:val="20"/>
        </w:rPr>
        <w:t xml:space="preserve">) in presence of </w:t>
      </w:r>
      <w:proofErr w:type="spellStart"/>
      <w:r w:rsidRPr="007D0629">
        <w:rPr>
          <w:rFonts w:ascii="Times New Roman" w:hAnsi="Times New Roman" w:cs="Times New Roman"/>
          <w:sz w:val="20"/>
        </w:rPr>
        <w:t>Zr</w:t>
      </w:r>
      <w:proofErr w:type="spellEnd"/>
      <w:r w:rsidRPr="007D0629">
        <w:rPr>
          <w:rFonts w:ascii="Times New Roman" w:hAnsi="Times New Roman" w:cs="Times New Roman"/>
          <w:sz w:val="20"/>
        </w:rPr>
        <w:t>-based Metal Organic-Framework (</w:t>
      </w:r>
      <w:proofErr w:type="spellStart"/>
      <w:r w:rsidRPr="007D0629">
        <w:rPr>
          <w:rFonts w:ascii="Times New Roman" w:hAnsi="Times New Roman" w:cs="Times New Roman"/>
          <w:sz w:val="20"/>
        </w:rPr>
        <w:t>Zr</w:t>
      </w:r>
      <w:proofErr w:type="spellEnd"/>
      <w:r w:rsidRPr="007D0629">
        <w:rPr>
          <w:rFonts w:ascii="Times New Roman" w:hAnsi="Times New Roman" w:cs="Times New Roman"/>
          <w:sz w:val="20"/>
        </w:rPr>
        <w:t xml:space="preserve">-MOFs) using Sodium Dodecyl </w:t>
      </w:r>
      <w:proofErr w:type="spellStart"/>
      <w:r w:rsidRPr="007D0629">
        <w:rPr>
          <w:rFonts w:ascii="Times New Roman" w:hAnsi="Times New Roman" w:cs="Times New Roman"/>
          <w:sz w:val="20"/>
        </w:rPr>
        <w:t>Sulphonate</w:t>
      </w:r>
      <w:proofErr w:type="spellEnd"/>
      <w:r w:rsidRPr="007D0629">
        <w:rPr>
          <w:rFonts w:ascii="Times New Roman" w:hAnsi="Times New Roman" w:cs="Times New Roman"/>
          <w:sz w:val="20"/>
        </w:rPr>
        <w:t xml:space="preserve"> (SDS) as a dopant, leads to the formation of a new class of thermoelectric materials based on conducting polymer and highly porous MOFs with enhanced properties for energy production applications. The polymerization of </w:t>
      </w:r>
      <w:proofErr w:type="spellStart"/>
      <w:r w:rsidRPr="007D0629">
        <w:rPr>
          <w:rFonts w:ascii="Times New Roman" w:hAnsi="Times New Roman" w:cs="Times New Roman"/>
          <w:sz w:val="20"/>
        </w:rPr>
        <w:t>polypyrrole</w:t>
      </w:r>
      <w:proofErr w:type="spellEnd"/>
      <w:r w:rsidRPr="007D0629">
        <w:rPr>
          <w:rFonts w:ascii="Times New Roman" w:hAnsi="Times New Roman" w:cs="Times New Roman"/>
          <w:sz w:val="20"/>
        </w:rPr>
        <w:t xml:space="preserve"> in the </w:t>
      </w:r>
      <w:proofErr w:type="spellStart"/>
      <w:r w:rsidRPr="007D0629">
        <w:rPr>
          <w:rFonts w:ascii="Times New Roman" w:hAnsi="Times New Roman" w:cs="Times New Roman"/>
          <w:sz w:val="20"/>
        </w:rPr>
        <w:t>Zr-Fumerate</w:t>
      </w:r>
      <w:proofErr w:type="spellEnd"/>
      <w:r w:rsidRPr="007D0629">
        <w:rPr>
          <w:rFonts w:ascii="Times New Roman" w:hAnsi="Times New Roman" w:cs="Times New Roman"/>
          <w:sz w:val="20"/>
        </w:rPr>
        <w:t xml:space="preserve"> pores, leads to the formation of homogenously coated MOF-spheres with high </w:t>
      </w:r>
      <w:proofErr w:type="spellStart"/>
      <w:r w:rsidRPr="007D0629">
        <w:rPr>
          <w:rFonts w:ascii="Times New Roman" w:hAnsi="Times New Roman" w:cs="Times New Roman"/>
          <w:sz w:val="20"/>
        </w:rPr>
        <w:t>crystallinity</w:t>
      </w:r>
      <w:proofErr w:type="spellEnd"/>
      <w:r w:rsidRPr="007D0629">
        <w:rPr>
          <w:rFonts w:ascii="Times New Roman" w:hAnsi="Times New Roman" w:cs="Times New Roman"/>
          <w:sz w:val="20"/>
        </w:rPr>
        <w:t xml:space="preserve"> and a high degree of improvement in many electrical properties such as conductivity and carrier mobility. </w:t>
      </w:r>
    </w:p>
    <w:p w:rsidR="00474203" w:rsidRDefault="007D0629" w:rsidP="007D0629">
      <w:pPr>
        <w:rPr>
          <w:rFonts w:ascii="Times New Roman" w:hAnsi="Times New Roman" w:cs="Times New Roman"/>
          <w:b/>
          <w:sz w:val="24"/>
        </w:rPr>
      </w:pPr>
      <w:r w:rsidRPr="007D0629">
        <w:rPr>
          <w:rFonts w:ascii="Times New Roman" w:hAnsi="Times New Roman" w:cs="Times New Roman"/>
          <w:b/>
          <w:sz w:val="24"/>
        </w:rPr>
        <w:t>Biography</w:t>
      </w:r>
    </w:p>
    <w:p w:rsidR="007D0629" w:rsidRPr="007D0629" w:rsidRDefault="007D0629" w:rsidP="007D0629">
      <w:pPr>
        <w:jc w:val="both"/>
        <w:rPr>
          <w:rFonts w:ascii="Times New Roman" w:hAnsi="Times New Roman" w:cs="Times New Roman"/>
          <w:sz w:val="20"/>
        </w:rPr>
      </w:pPr>
      <w:proofErr w:type="spellStart"/>
      <w:r w:rsidRPr="007D0629">
        <w:rPr>
          <w:rFonts w:ascii="Times New Roman" w:hAnsi="Times New Roman" w:cs="Times New Roman"/>
          <w:sz w:val="20"/>
        </w:rPr>
        <w:t>Asmaa</w:t>
      </w:r>
      <w:proofErr w:type="spellEnd"/>
      <w:r w:rsidRPr="007D0629">
        <w:rPr>
          <w:rFonts w:ascii="Times New Roman" w:hAnsi="Times New Roman" w:cs="Times New Roman"/>
          <w:sz w:val="20"/>
        </w:rPr>
        <w:t xml:space="preserve"> </w:t>
      </w:r>
      <w:proofErr w:type="spellStart"/>
      <w:r w:rsidRPr="007D0629">
        <w:rPr>
          <w:rFonts w:ascii="Times New Roman" w:hAnsi="Times New Roman" w:cs="Times New Roman"/>
          <w:sz w:val="20"/>
        </w:rPr>
        <w:t>Ebrahim</w:t>
      </w:r>
      <w:proofErr w:type="spellEnd"/>
      <w:r>
        <w:rPr>
          <w:rFonts w:ascii="Times New Roman" w:hAnsi="Times New Roman" w:cs="Times New Roman"/>
          <w:sz w:val="20"/>
        </w:rPr>
        <w:t xml:space="preserve"> is affiliated from </w:t>
      </w:r>
      <w:r w:rsidRPr="007D0629">
        <w:rPr>
          <w:rFonts w:ascii="Times New Roman" w:hAnsi="Times New Roman" w:cs="Times New Roman"/>
          <w:sz w:val="20"/>
        </w:rPr>
        <w:t>Egypt-Japan University of Science and Technology, Egypt</w:t>
      </w:r>
      <w:r>
        <w:rPr>
          <w:rFonts w:ascii="Times New Roman" w:hAnsi="Times New Roman" w:cs="Times New Roman"/>
          <w:sz w:val="20"/>
        </w:rPr>
        <w:t>.</w:t>
      </w:r>
      <w:bookmarkEnd w:id="0"/>
    </w:p>
    <w:sectPr w:rsidR="007D0629" w:rsidRPr="007D0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629"/>
    <w:rsid w:val="00474203"/>
    <w:rsid w:val="00535872"/>
    <w:rsid w:val="007D062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2022-12-28T10:03:00Z</dcterms:created>
  <dcterms:modified xsi:type="dcterms:W3CDTF">2022-12-28T10:11:00Z</dcterms:modified>
</cp:coreProperties>
</file>