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3E" w:rsidRPr="0005117C" w:rsidRDefault="00363F92" w:rsidP="0005117C">
      <w:pPr>
        <w:spacing w:after="120"/>
        <w:rPr>
          <w:rFonts w:ascii="Times New Roman" w:hAnsi="Times New Roman" w:cs="Times New Roman"/>
          <w:b/>
          <w:sz w:val="32"/>
          <w:szCs w:val="28"/>
          <w:lang w:val="en-US"/>
        </w:rPr>
      </w:pPr>
      <w:r w:rsidRPr="0005117C">
        <w:rPr>
          <w:rFonts w:ascii="Times New Roman" w:hAnsi="Times New Roman" w:cs="Times New Roman"/>
          <w:b/>
          <w:sz w:val="32"/>
          <w:szCs w:val="28"/>
          <w:lang w:val="en-US"/>
        </w:rPr>
        <w:t xml:space="preserve">A non-interventional, naturalistic study of prescription patterns, clinical and socio-demographic profiles of patients with psychotic disorders at a tertiary care </w:t>
      </w:r>
      <w:r w:rsidR="000F1503" w:rsidRPr="0005117C">
        <w:rPr>
          <w:rFonts w:ascii="Times New Roman" w:hAnsi="Times New Roman" w:cs="Times New Roman"/>
          <w:b/>
          <w:sz w:val="32"/>
          <w:szCs w:val="28"/>
          <w:lang w:val="en-US"/>
        </w:rPr>
        <w:t>cent</w:t>
      </w:r>
      <w:r w:rsidRPr="0005117C">
        <w:rPr>
          <w:rFonts w:ascii="Times New Roman" w:hAnsi="Times New Roman" w:cs="Times New Roman"/>
          <w:b/>
          <w:sz w:val="32"/>
          <w:szCs w:val="28"/>
          <w:lang w:val="en-US"/>
        </w:rPr>
        <w:t>r</w:t>
      </w:r>
      <w:r w:rsidR="000F1503" w:rsidRPr="0005117C">
        <w:rPr>
          <w:rFonts w:ascii="Times New Roman" w:hAnsi="Times New Roman" w:cs="Times New Roman"/>
          <w:b/>
          <w:sz w:val="32"/>
          <w:szCs w:val="28"/>
          <w:lang w:val="en-US"/>
        </w:rPr>
        <w:t>e</w:t>
      </w:r>
      <w:r w:rsidRPr="0005117C">
        <w:rPr>
          <w:rFonts w:ascii="Times New Roman" w:hAnsi="Times New Roman" w:cs="Times New Roman"/>
          <w:b/>
          <w:sz w:val="32"/>
          <w:szCs w:val="28"/>
          <w:lang w:val="en-US"/>
        </w:rPr>
        <w:t xml:space="preserve"> in India</w:t>
      </w:r>
    </w:p>
    <w:p w:rsidR="0005117C" w:rsidRPr="0005117C" w:rsidRDefault="00363F92" w:rsidP="0005117C">
      <w:pPr>
        <w:spacing w:after="120"/>
        <w:rPr>
          <w:rFonts w:ascii="Times New Roman" w:hAnsi="Times New Roman" w:cs="Times New Roman"/>
          <w:sz w:val="24"/>
          <w:lang w:val="en-US"/>
        </w:rPr>
      </w:pPr>
      <w:proofErr w:type="spellStart"/>
      <w:r w:rsidRPr="0005117C">
        <w:rPr>
          <w:rFonts w:ascii="Times New Roman" w:hAnsi="Times New Roman" w:cs="Times New Roman"/>
          <w:sz w:val="24"/>
          <w:lang w:val="en-US"/>
        </w:rPr>
        <w:t>Zarrin</w:t>
      </w:r>
      <w:proofErr w:type="spellEnd"/>
      <w:r w:rsidRPr="0005117C">
        <w:rPr>
          <w:rFonts w:ascii="Times New Roman" w:hAnsi="Times New Roman" w:cs="Times New Roman"/>
          <w:sz w:val="24"/>
          <w:lang w:val="en-US"/>
        </w:rPr>
        <w:t xml:space="preserve"> Ansari</w:t>
      </w:r>
      <w:r w:rsidR="001C6894">
        <w:rPr>
          <w:rFonts w:ascii="Times New Roman" w:hAnsi="Times New Roman" w:cs="Times New Roman"/>
          <w:sz w:val="24"/>
          <w:lang w:val="en-US"/>
        </w:rPr>
        <w:t>*</w:t>
      </w:r>
      <w:r w:rsidRPr="0005117C">
        <w:rPr>
          <w:rFonts w:ascii="Times New Roman" w:hAnsi="Times New Roman" w:cs="Times New Roman"/>
          <w:sz w:val="24"/>
          <w:lang w:val="en-US"/>
        </w:rPr>
        <w:t xml:space="preserve">, </w:t>
      </w:r>
      <w:proofErr w:type="spellStart"/>
      <w:r w:rsidRPr="0005117C">
        <w:rPr>
          <w:rFonts w:ascii="Times New Roman" w:hAnsi="Times New Roman" w:cs="Times New Roman"/>
          <w:sz w:val="24"/>
          <w:lang w:val="en-US"/>
        </w:rPr>
        <w:t>Abhilasha</w:t>
      </w:r>
      <w:proofErr w:type="spellEnd"/>
      <w:r w:rsidRPr="0005117C">
        <w:rPr>
          <w:rFonts w:ascii="Times New Roman" w:hAnsi="Times New Roman" w:cs="Times New Roman"/>
          <w:sz w:val="24"/>
          <w:lang w:val="en-US"/>
        </w:rPr>
        <w:t xml:space="preserve"> </w:t>
      </w:r>
      <w:proofErr w:type="spellStart"/>
      <w:r w:rsidRPr="0005117C">
        <w:rPr>
          <w:rFonts w:ascii="Times New Roman" w:hAnsi="Times New Roman" w:cs="Times New Roman"/>
          <w:sz w:val="24"/>
          <w:lang w:val="en-US"/>
        </w:rPr>
        <w:t>Rashmi</w:t>
      </w:r>
      <w:proofErr w:type="spellEnd"/>
      <w:r w:rsidR="0005117C">
        <w:rPr>
          <w:rFonts w:ascii="Times New Roman" w:hAnsi="Times New Roman" w:cs="Times New Roman"/>
          <w:sz w:val="24"/>
          <w:lang w:val="en-US"/>
        </w:rPr>
        <w:t xml:space="preserve"> and</w:t>
      </w:r>
      <w:r w:rsidRPr="0005117C">
        <w:rPr>
          <w:rFonts w:ascii="Times New Roman" w:hAnsi="Times New Roman" w:cs="Times New Roman"/>
          <w:sz w:val="24"/>
          <w:lang w:val="en-US"/>
        </w:rPr>
        <w:t xml:space="preserve"> </w:t>
      </w:r>
      <w:proofErr w:type="spellStart"/>
      <w:r w:rsidRPr="0005117C">
        <w:rPr>
          <w:rFonts w:ascii="Times New Roman" w:hAnsi="Times New Roman" w:cs="Times New Roman"/>
          <w:sz w:val="24"/>
          <w:lang w:val="en-US"/>
        </w:rPr>
        <w:t>Sudhir</w:t>
      </w:r>
      <w:proofErr w:type="spellEnd"/>
      <w:r w:rsidRPr="0005117C">
        <w:rPr>
          <w:rFonts w:ascii="Times New Roman" w:hAnsi="Times New Roman" w:cs="Times New Roman"/>
          <w:sz w:val="24"/>
          <w:lang w:val="en-US"/>
        </w:rPr>
        <w:t xml:space="preserve"> </w:t>
      </w:r>
      <w:proofErr w:type="spellStart"/>
      <w:r w:rsidRPr="0005117C">
        <w:rPr>
          <w:rFonts w:ascii="Times New Roman" w:hAnsi="Times New Roman" w:cs="Times New Roman"/>
          <w:sz w:val="24"/>
          <w:lang w:val="en-US"/>
        </w:rPr>
        <w:t>Pawar</w:t>
      </w:r>
      <w:proofErr w:type="spellEnd"/>
    </w:p>
    <w:p w:rsidR="00363F92" w:rsidRPr="00363F92" w:rsidRDefault="00363F92" w:rsidP="0005117C">
      <w:pPr>
        <w:spacing w:after="120"/>
        <w:rPr>
          <w:rFonts w:ascii="Times New Roman" w:hAnsi="Times New Roman" w:cs="Times New Roman"/>
          <w:lang w:val="en-US"/>
        </w:rPr>
      </w:pPr>
      <w:proofErr w:type="spellStart"/>
      <w:r w:rsidRPr="00363F92">
        <w:rPr>
          <w:rFonts w:ascii="Times New Roman" w:hAnsi="Times New Roman" w:cs="Times New Roman"/>
          <w:lang w:val="en-US"/>
        </w:rPr>
        <w:t>Lokmanya</w:t>
      </w:r>
      <w:proofErr w:type="spellEnd"/>
      <w:r w:rsidRPr="00363F92">
        <w:rPr>
          <w:rFonts w:ascii="Times New Roman" w:hAnsi="Times New Roman" w:cs="Times New Roman"/>
          <w:lang w:val="en-US"/>
        </w:rPr>
        <w:t xml:space="preserve"> </w:t>
      </w:r>
      <w:proofErr w:type="spellStart"/>
      <w:r w:rsidRPr="00363F92">
        <w:rPr>
          <w:rFonts w:ascii="Times New Roman" w:hAnsi="Times New Roman" w:cs="Times New Roman"/>
          <w:lang w:val="en-US"/>
        </w:rPr>
        <w:t>Tilak</w:t>
      </w:r>
      <w:proofErr w:type="spellEnd"/>
      <w:r w:rsidRPr="00363F92">
        <w:rPr>
          <w:rFonts w:ascii="Times New Roman" w:hAnsi="Times New Roman" w:cs="Times New Roman"/>
          <w:lang w:val="en-US"/>
        </w:rPr>
        <w:t xml:space="preserve"> Municipal College and General Hospital, India</w:t>
      </w:r>
    </w:p>
    <w:p w:rsidR="0005117C" w:rsidRPr="0005117C" w:rsidRDefault="000F1503" w:rsidP="0005117C">
      <w:pPr>
        <w:spacing w:after="120"/>
        <w:jc w:val="center"/>
        <w:rPr>
          <w:rFonts w:ascii="Times New Roman" w:hAnsi="Times New Roman" w:cs="Times New Roman"/>
          <w:b/>
          <w:sz w:val="24"/>
          <w:lang w:val="en-US"/>
        </w:rPr>
      </w:pPr>
      <w:r w:rsidRPr="0005117C">
        <w:rPr>
          <w:rFonts w:ascii="Times New Roman" w:hAnsi="Times New Roman" w:cs="Times New Roman"/>
          <w:b/>
          <w:sz w:val="24"/>
          <w:lang w:val="en-US"/>
        </w:rPr>
        <w:t>Abstract</w:t>
      </w:r>
    </w:p>
    <w:p w:rsidR="00862CAF" w:rsidRPr="0005117C" w:rsidRDefault="00363F92" w:rsidP="0005117C">
      <w:pPr>
        <w:spacing w:after="120"/>
        <w:jc w:val="both"/>
        <w:rPr>
          <w:rFonts w:ascii="Times New Roman" w:hAnsi="Times New Roman" w:cs="Times New Roman"/>
          <w:sz w:val="20"/>
          <w:lang w:val="en-US"/>
        </w:rPr>
      </w:pPr>
      <w:r w:rsidRPr="0005117C">
        <w:rPr>
          <w:rFonts w:ascii="Times New Roman" w:hAnsi="Times New Roman" w:cs="Times New Roman"/>
          <w:b/>
          <w:sz w:val="20"/>
          <w:lang w:val="en-US"/>
        </w:rPr>
        <w:t>Objectives:</w:t>
      </w:r>
      <w:r w:rsidRPr="0005117C">
        <w:rPr>
          <w:rFonts w:ascii="Times New Roman" w:hAnsi="Times New Roman" w:cs="Times New Roman"/>
          <w:sz w:val="20"/>
          <w:lang w:val="en-US"/>
        </w:rPr>
        <w:t xml:space="preserve"> The aim of this study was to document the sociodemographic and clinical profiles and prescription patterns in patients diagnosed with psychotic disorders attending the p</w:t>
      </w:r>
      <w:r w:rsidR="00862CAF" w:rsidRPr="0005117C">
        <w:rPr>
          <w:rFonts w:ascii="Times New Roman" w:hAnsi="Times New Roman" w:cs="Times New Roman"/>
          <w:sz w:val="20"/>
          <w:lang w:val="en-US"/>
        </w:rPr>
        <w:t xml:space="preserve">sychiatry outpatient department </w:t>
      </w:r>
      <w:r w:rsidRPr="0005117C">
        <w:rPr>
          <w:rFonts w:ascii="Times New Roman" w:hAnsi="Times New Roman" w:cs="Times New Roman"/>
          <w:sz w:val="20"/>
          <w:lang w:val="en-US"/>
        </w:rPr>
        <w:t xml:space="preserve">at a tertiary care </w:t>
      </w:r>
      <w:r w:rsidR="000F1503" w:rsidRPr="0005117C">
        <w:rPr>
          <w:rFonts w:ascii="Times New Roman" w:hAnsi="Times New Roman" w:cs="Times New Roman"/>
          <w:sz w:val="20"/>
          <w:lang w:val="en-US"/>
        </w:rPr>
        <w:t>Centre</w:t>
      </w:r>
      <w:r w:rsidR="00862CAF" w:rsidRPr="0005117C">
        <w:rPr>
          <w:rFonts w:ascii="Times New Roman" w:hAnsi="Times New Roman" w:cs="Times New Roman"/>
          <w:sz w:val="20"/>
          <w:lang w:val="en-US"/>
        </w:rPr>
        <w:t>.</w:t>
      </w:r>
    </w:p>
    <w:p w:rsidR="00862CAF" w:rsidRPr="0005117C" w:rsidRDefault="00363F92" w:rsidP="0005117C">
      <w:pPr>
        <w:spacing w:after="120"/>
        <w:jc w:val="both"/>
        <w:rPr>
          <w:rFonts w:ascii="Times New Roman" w:hAnsi="Times New Roman" w:cs="Times New Roman"/>
          <w:sz w:val="20"/>
          <w:lang w:val="en-US"/>
        </w:rPr>
      </w:pPr>
      <w:r w:rsidRPr="0005117C">
        <w:rPr>
          <w:rFonts w:ascii="Times New Roman" w:hAnsi="Times New Roman" w:cs="Times New Roman"/>
          <w:b/>
          <w:sz w:val="20"/>
          <w:lang w:val="en-US"/>
        </w:rPr>
        <w:t>Methods:</w:t>
      </w:r>
      <w:r w:rsidRPr="0005117C">
        <w:rPr>
          <w:rFonts w:ascii="Times New Roman" w:hAnsi="Times New Roman" w:cs="Times New Roman"/>
          <w:sz w:val="20"/>
          <w:lang w:val="en-US"/>
        </w:rPr>
        <w:t xml:space="preserve"> A prospective, non-interventional, naturalistic, cross-sectional, observational study was conducted between March 2021 and April 2021 at Lokmanya Tilak Municipal Medical College and General Hospital in Mumbai (India). A total of 200 prescriptions were analyzed. Demographic and clinical data were collected using structured case-record forms after taking written informed consent. World Health Organization (WHO) indicators were also calculated to assess the rationality of prescriptions.</w:t>
      </w:r>
    </w:p>
    <w:p w:rsidR="00862CAF" w:rsidRPr="0005117C" w:rsidRDefault="00363F92" w:rsidP="0005117C">
      <w:pPr>
        <w:spacing w:after="120"/>
        <w:jc w:val="both"/>
        <w:rPr>
          <w:rFonts w:ascii="Times New Roman" w:hAnsi="Times New Roman" w:cs="Times New Roman"/>
          <w:b/>
          <w:sz w:val="20"/>
          <w:lang w:val="en-US"/>
        </w:rPr>
      </w:pPr>
      <w:r w:rsidRPr="0005117C">
        <w:rPr>
          <w:rFonts w:ascii="Times New Roman" w:hAnsi="Times New Roman" w:cs="Times New Roman"/>
          <w:b/>
          <w:sz w:val="20"/>
          <w:lang w:val="en-US"/>
        </w:rPr>
        <w:t>Results:</w:t>
      </w:r>
      <w:r w:rsidRPr="0005117C">
        <w:rPr>
          <w:rFonts w:ascii="Times New Roman" w:hAnsi="Times New Roman" w:cs="Times New Roman"/>
          <w:sz w:val="20"/>
          <w:lang w:val="en-US"/>
        </w:rPr>
        <w:t xml:space="preserve"> The mean age of the cohort was 40.26 years with the range being 18-75 years and the mean duration of illness suffered was 10.75 years. I</w:t>
      </w:r>
      <w:r w:rsidR="0005117C">
        <w:rPr>
          <w:rFonts w:ascii="Times New Roman" w:hAnsi="Times New Roman" w:cs="Times New Roman"/>
          <w:sz w:val="20"/>
          <w:lang w:val="en-US"/>
        </w:rPr>
        <w:t>n general, more males (122/200</w:t>
      </w:r>
      <w:proofErr w:type="gramStart"/>
      <w:r w:rsidR="0005117C">
        <w:rPr>
          <w:rFonts w:ascii="Times New Roman" w:hAnsi="Times New Roman" w:cs="Times New Roman"/>
          <w:sz w:val="20"/>
          <w:lang w:val="en-US"/>
        </w:rPr>
        <w:t>,</w:t>
      </w:r>
      <w:r w:rsidRPr="0005117C">
        <w:rPr>
          <w:rFonts w:ascii="Times New Roman" w:hAnsi="Times New Roman" w:cs="Times New Roman"/>
          <w:sz w:val="20"/>
          <w:lang w:val="en-US"/>
        </w:rPr>
        <w:t>61</w:t>
      </w:r>
      <w:proofErr w:type="gramEnd"/>
      <w:r w:rsidRPr="0005117C">
        <w:rPr>
          <w:rFonts w:ascii="Times New Roman" w:hAnsi="Times New Roman" w:cs="Times New Roman"/>
          <w:sz w:val="20"/>
          <w:lang w:val="en-US"/>
        </w:rPr>
        <w:t xml:space="preserve">%) were affected than females (78/200, 39%). College or higher education was attained only by 21% (42/200) patients out of which 31 (15.5%) were males and only 11 (5.5%) were females. Seventy-nine </w:t>
      </w:r>
      <w:r w:rsidR="00862CAF" w:rsidRPr="0005117C">
        <w:rPr>
          <w:rFonts w:ascii="Times New Roman" w:hAnsi="Times New Roman" w:cs="Times New Roman"/>
          <w:sz w:val="20"/>
          <w:lang w:val="en-US"/>
        </w:rPr>
        <w:t>percentages</w:t>
      </w:r>
      <w:r w:rsidRPr="0005117C">
        <w:rPr>
          <w:rFonts w:ascii="Times New Roman" w:hAnsi="Times New Roman" w:cs="Times New Roman"/>
          <w:sz w:val="20"/>
          <w:lang w:val="en-US"/>
        </w:rPr>
        <w:t xml:space="preserve"> (158/200) had attained school or lesser. Almost half (58%) of patients were married an</w:t>
      </w:r>
      <w:bookmarkStart w:id="0" w:name="_GoBack"/>
      <w:bookmarkEnd w:id="0"/>
      <w:r w:rsidRPr="0005117C">
        <w:rPr>
          <w:rFonts w:ascii="Times New Roman" w:hAnsi="Times New Roman" w:cs="Times New Roman"/>
          <w:sz w:val="20"/>
          <w:lang w:val="en-US"/>
        </w:rPr>
        <w:t>d the other 42% were separated/divorced/unmarried/widowed. One hundred and seven (68.5%) of patients were diagnosed of schizophrenia without any co-morbid neuropsychiatric condition. Amongst the 200 analyzed prescriptions, 13 antipsychotics were prescribed 343 times. The highest frequency of antipsychotic prescr</w:t>
      </w:r>
      <w:r w:rsidR="0005117C">
        <w:rPr>
          <w:rFonts w:ascii="Times New Roman" w:hAnsi="Times New Roman" w:cs="Times New Roman"/>
          <w:sz w:val="20"/>
          <w:lang w:val="en-US"/>
        </w:rPr>
        <w:t>iption was for olanzapine (132</w:t>
      </w:r>
      <w:proofErr w:type="gramStart"/>
      <w:r w:rsidR="0005117C">
        <w:rPr>
          <w:rFonts w:ascii="Times New Roman" w:hAnsi="Times New Roman" w:cs="Times New Roman"/>
          <w:sz w:val="20"/>
          <w:lang w:val="en-US"/>
        </w:rPr>
        <w:t>,66</w:t>
      </w:r>
      <w:proofErr w:type="gramEnd"/>
      <w:r w:rsidR="0005117C">
        <w:rPr>
          <w:rFonts w:ascii="Times New Roman" w:hAnsi="Times New Roman" w:cs="Times New Roman"/>
          <w:sz w:val="20"/>
          <w:lang w:val="en-US"/>
        </w:rPr>
        <w:t>%) followed by clozapine (75,</w:t>
      </w:r>
      <w:r w:rsidRPr="0005117C">
        <w:rPr>
          <w:rFonts w:ascii="Times New Roman" w:hAnsi="Times New Roman" w:cs="Times New Roman"/>
          <w:sz w:val="20"/>
          <w:lang w:val="en-US"/>
        </w:rPr>
        <w:t>37.5%). There was a single prescription of depot flupenthixole. The typical antipsychotics p</w:t>
      </w:r>
      <w:r w:rsidR="0005117C">
        <w:rPr>
          <w:rFonts w:ascii="Times New Roman" w:hAnsi="Times New Roman" w:cs="Times New Roman"/>
          <w:sz w:val="20"/>
          <w:lang w:val="en-US"/>
        </w:rPr>
        <w:t>rescribed were haloperidol (41</w:t>
      </w:r>
      <w:proofErr w:type="gramStart"/>
      <w:r w:rsidR="0005117C">
        <w:rPr>
          <w:rFonts w:ascii="Times New Roman" w:hAnsi="Times New Roman" w:cs="Times New Roman"/>
          <w:sz w:val="20"/>
          <w:lang w:val="en-US"/>
        </w:rPr>
        <w:t>,</w:t>
      </w:r>
      <w:r w:rsidRPr="0005117C">
        <w:rPr>
          <w:rFonts w:ascii="Times New Roman" w:hAnsi="Times New Roman" w:cs="Times New Roman"/>
          <w:sz w:val="20"/>
          <w:lang w:val="en-US"/>
        </w:rPr>
        <w:t>20.</w:t>
      </w:r>
      <w:r w:rsidR="0005117C">
        <w:rPr>
          <w:rFonts w:ascii="Times New Roman" w:hAnsi="Times New Roman" w:cs="Times New Roman"/>
          <w:sz w:val="20"/>
          <w:lang w:val="en-US"/>
        </w:rPr>
        <w:t>5</w:t>
      </w:r>
      <w:proofErr w:type="gramEnd"/>
      <w:r w:rsidR="0005117C">
        <w:rPr>
          <w:rFonts w:ascii="Times New Roman" w:hAnsi="Times New Roman" w:cs="Times New Roman"/>
          <w:sz w:val="20"/>
          <w:lang w:val="en-US"/>
        </w:rPr>
        <w:t xml:space="preserve">%), </w:t>
      </w:r>
      <w:proofErr w:type="spellStart"/>
      <w:r w:rsidR="0005117C">
        <w:rPr>
          <w:rFonts w:ascii="Times New Roman" w:hAnsi="Times New Roman" w:cs="Times New Roman"/>
          <w:sz w:val="20"/>
          <w:lang w:val="en-US"/>
        </w:rPr>
        <w:t>trifluperazine</w:t>
      </w:r>
      <w:proofErr w:type="spellEnd"/>
      <w:r w:rsidR="0005117C">
        <w:rPr>
          <w:rFonts w:ascii="Times New Roman" w:hAnsi="Times New Roman" w:cs="Times New Roman"/>
          <w:sz w:val="20"/>
          <w:lang w:val="en-US"/>
        </w:rPr>
        <w:t xml:space="preserve"> (3,1.5%), </w:t>
      </w:r>
      <w:proofErr w:type="spellStart"/>
      <w:r w:rsidR="0005117C">
        <w:rPr>
          <w:rFonts w:ascii="Times New Roman" w:hAnsi="Times New Roman" w:cs="Times New Roman"/>
          <w:sz w:val="20"/>
          <w:lang w:val="en-US"/>
        </w:rPr>
        <w:t>loxapine</w:t>
      </w:r>
      <w:proofErr w:type="spellEnd"/>
      <w:r w:rsidR="0005117C">
        <w:rPr>
          <w:rFonts w:ascii="Times New Roman" w:hAnsi="Times New Roman" w:cs="Times New Roman"/>
          <w:sz w:val="20"/>
          <w:lang w:val="en-US"/>
        </w:rPr>
        <w:t xml:space="preserve"> (1,</w:t>
      </w:r>
      <w:r w:rsidRPr="0005117C">
        <w:rPr>
          <w:rFonts w:ascii="Times New Roman" w:hAnsi="Times New Roman" w:cs="Times New Roman"/>
          <w:sz w:val="20"/>
          <w:lang w:val="en-US"/>
        </w:rPr>
        <w:t>0.</w:t>
      </w:r>
      <w:r w:rsidR="0005117C">
        <w:rPr>
          <w:rFonts w:ascii="Times New Roman" w:hAnsi="Times New Roman" w:cs="Times New Roman"/>
          <w:sz w:val="20"/>
          <w:lang w:val="en-US"/>
        </w:rPr>
        <w:t xml:space="preserve">5%) and </w:t>
      </w:r>
      <w:proofErr w:type="spellStart"/>
      <w:r w:rsidR="0005117C">
        <w:rPr>
          <w:rFonts w:ascii="Times New Roman" w:hAnsi="Times New Roman" w:cs="Times New Roman"/>
          <w:sz w:val="20"/>
          <w:lang w:val="en-US"/>
        </w:rPr>
        <w:t>flupenthixole</w:t>
      </w:r>
      <w:proofErr w:type="spellEnd"/>
      <w:r w:rsidR="0005117C">
        <w:rPr>
          <w:rFonts w:ascii="Times New Roman" w:hAnsi="Times New Roman" w:cs="Times New Roman"/>
          <w:sz w:val="20"/>
          <w:lang w:val="en-US"/>
        </w:rPr>
        <w:t xml:space="preserve"> depot (1,</w:t>
      </w:r>
      <w:r w:rsidRPr="0005117C">
        <w:rPr>
          <w:rFonts w:ascii="Times New Roman" w:hAnsi="Times New Roman" w:cs="Times New Roman"/>
          <w:sz w:val="20"/>
          <w:lang w:val="en-US"/>
        </w:rPr>
        <w:t>0.5%). In total 91% (181/200) of patients were prescribed concomitant medications to antipsychotics. The commonest concomitant psychotropic drugs prescribed were trihexyphenidyl (45%), escitalopram (30%), clonazepam (26.5%), sodium valproate (10%), propranolol (10.5%) and modafinil (9.5%). The commonest non-psychotropic medications were multivitamin B-compex/iron supplements/calcium (52%). Only 6% of prescriptions had a single drug prescribed in the present study. Consequently, 94% (188/200) prescription demonstrated polypharmacy, defined as two or more than two drugs per prescription. The percentage of polypharmacy in males was 56% (112/200) and in females was 38% (76/200). Frequency of antipsychotics per prescription were; one in 44% (88/200), two in 36.50% (73/200), three in 17% (34/200), four in 0.5% (1/200) and five again in 0.5% (1/200) of patients. There were 3/200 (1.5%) prescriptions with zero antipsychotics.</w:t>
      </w:r>
    </w:p>
    <w:p w:rsidR="00862CAF" w:rsidRPr="0005117C" w:rsidRDefault="00363F92" w:rsidP="0005117C">
      <w:pPr>
        <w:spacing w:after="120"/>
        <w:jc w:val="both"/>
        <w:rPr>
          <w:rFonts w:ascii="Times New Roman" w:hAnsi="Times New Roman" w:cs="Times New Roman"/>
          <w:sz w:val="20"/>
          <w:lang w:val="en-US"/>
        </w:rPr>
      </w:pPr>
      <w:r w:rsidRPr="0005117C">
        <w:rPr>
          <w:rFonts w:ascii="Times New Roman" w:hAnsi="Times New Roman" w:cs="Times New Roman"/>
          <w:b/>
          <w:sz w:val="20"/>
          <w:lang w:val="en-US"/>
        </w:rPr>
        <w:t>Conclusions:</w:t>
      </w:r>
      <w:r w:rsidRPr="0005117C">
        <w:rPr>
          <w:rFonts w:ascii="Times New Roman" w:hAnsi="Times New Roman" w:cs="Times New Roman"/>
          <w:sz w:val="20"/>
          <w:lang w:val="en-US"/>
        </w:rPr>
        <w:t xml:space="preserve"> Atypical antipsychotics formed a majority of antipsychotic prescription in the present study. The rapidly increasing use of this new class of antipsychotics highlights the need for better evaluation regarding their safety profile. This study also demonstrated a high rate of polypharmacy. Further evaluation demonstrated </w:t>
      </w:r>
      <w:r w:rsidR="000F1503" w:rsidRPr="0005117C">
        <w:rPr>
          <w:rFonts w:ascii="Times New Roman" w:hAnsi="Times New Roman" w:cs="Times New Roman"/>
          <w:sz w:val="20"/>
          <w:lang w:val="en-US"/>
        </w:rPr>
        <w:t>many off-label uses</w:t>
      </w:r>
      <w:r w:rsidRPr="0005117C">
        <w:rPr>
          <w:rFonts w:ascii="Times New Roman" w:hAnsi="Times New Roman" w:cs="Times New Roman"/>
          <w:sz w:val="20"/>
          <w:lang w:val="en-US"/>
        </w:rPr>
        <w:t xml:space="preserve"> of drugs viz. propranolol and metformin for balancing the adverse effects of the psychotropic drugs. </w:t>
      </w:r>
    </w:p>
    <w:p w:rsidR="000F1503" w:rsidRPr="0005117C" w:rsidRDefault="00363F92" w:rsidP="0005117C">
      <w:pPr>
        <w:spacing w:after="120"/>
        <w:jc w:val="both"/>
        <w:rPr>
          <w:rFonts w:ascii="Times New Roman" w:hAnsi="Times New Roman" w:cs="Times New Roman"/>
          <w:sz w:val="20"/>
          <w:lang w:val="en-US"/>
        </w:rPr>
      </w:pPr>
      <w:r w:rsidRPr="0005117C">
        <w:rPr>
          <w:rFonts w:ascii="Times New Roman" w:hAnsi="Times New Roman" w:cs="Times New Roman"/>
          <w:b/>
          <w:sz w:val="20"/>
          <w:lang w:val="en-US"/>
        </w:rPr>
        <w:t>Keywords:</w:t>
      </w:r>
      <w:r w:rsidRPr="0005117C">
        <w:rPr>
          <w:rFonts w:ascii="Times New Roman" w:hAnsi="Times New Roman" w:cs="Times New Roman"/>
          <w:sz w:val="20"/>
          <w:lang w:val="en-US"/>
        </w:rPr>
        <w:t xml:space="preserve"> </w:t>
      </w:r>
      <w:r w:rsidR="0005117C">
        <w:rPr>
          <w:rFonts w:ascii="Times New Roman" w:hAnsi="Times New Roman" w:cs="Times New Roman"/>
          <w:sz w:val="20"/>
          <w:lang w:val="en-US"/>
        </w:rPr>
        <w:t>A</w:t>
      </w:r>
      <w:r w:rsidRPr="0005117C">
        <w:rPr>
          <w:rFonts w:ascii="Times New Roman" w:hAnsi="Times New Roman" w:cs="Times New Roman"/>
          <w:sz w:val="20"/>
          <w:lang w:val="en-US"/>
        </w:rPr>
        <w:t xml:space="preserve">ntipsychotics, </w:t>
      </w:r>
      <w:r w:rsidR="0005117C">
        <w:rPr>
          <w:rFonts w:ascii="Times New Roman" w:hAnsi="Times New Roman" w:cs="Times New Roman"/>
          <w:sz w:val="20"/>
          <w:lang w:val="en-US"/>
        </w:rPr>
        <w:t>P</w:t>
      </w:r>
      <w:r w:rsidRPr="0005117C">
        <w:rPr>
          <w:rFonts w:ascii="Times New Roman" w:hAnsi="Times New Roman" w:cs="Times New Roman"/>
          <w:sz w:val="20"/>
          <w:lang w:val="en-US"/>
        </w:rPr>
        <w:t xml:space="preserve">rescription pattern, </w:t>
      </w:r>
      <w:r w:rsidR="0005117C">
        <w:rPr>
          <w:rFonts w:ascii="Times New Roman" w:hAnsi="Times New Roman" w:cs="Times New Roman"/>
          <w:sz w:val="20"/>
          <w:lang w:val="en-US"/>
        </w:rPr>
        <w:t>P</w:t>
      </w:r>
      <w:r w:rsidRPr="0005117C">
        <w:rPr>
          <w:rFonts w:ascii="Times New Roman" w:hAnsi="Times New Roman" w:cs="Times New Roman"/>
          <w:sz w:val="20"/>
          <w:lang w:val="en-US"/>
        </w:rPr>
        <w:t xml:space="preserve">sychotropic drugs, </w:t>
      </w:r>
      <w:proofErr w:type="spellStart"/>
      <w:r w:rsidR="0005117C">
        <w:rPr>
          <w:rFonts w:ascii="Times New Roman" w:hAnsi="Times New Roman" w:cs="Times New Roman"/>
          <w:sz w:val="20"/>
          <w:lang w:val="en-US"/>
        </w:rPr>
        <w:t>P</w:t>
      </w:r>
      <w:r w:rsidRPr="0005117C">
        <w:rPr>
          <w:rFonts w:ascii="Times New Roman" w:hAnsi="Times New Roman" w:cs="Times New Roman"/>
          <w:sz w:val="20"/>
          <w:lang w:val="en-US"/>
        </w:rPr>
        <w:t>olypharmacy</w:t>
      </w:r>
      <w:proofErr w:type="spellEnd"/>
      <w:r w:rsidRPr="0005117C">
        <w:rPr>
          <w:rFonts w:ascii="Times New Roman" w:hAnsi="Times New Roman" w:cs="Times New Roman"/>
          <w:sz w:val="20"/>
          <w:lang w:val="en-US"/>
        </w:rPr>
        <w:t xml:space="preserve">, </w:t>
      </w:r>
      <w:r w:rsidR="0005117C">
        <w:rPr>
          <w:rFonts w:ascii="Times New Roman" w:hAnsi="Times New Roman" w:cs="Times New Roman"/>
          <w:sz w:val="20"/>
          <w:lang w:val="en-US"/>
        </w:rPr>
        <w:t>P</w:t>
      </w:r>
      <w:r w:rsidRPr="0005117C">
        <w:rPr>
          <w:rFonts w:ascii="Times New Roman" w:hAnsi="Times New Roman" w:cs="Times New Roman"/>
          <w:sz w:val="20"/>
          <w:lang w:val="en-US"/>
        </w:rPr>
        <w:t xml:space="preserve">sychotic disorder, </w:t>
      </w:r>
      <w:r w:rsidR="0005117C">
        <w:rPr>
          <w:rFonts w:ascii="Times New Roman" w:hAnsi="Times New Roman" w:cs="Times New Roman"/>
          <w:sz w:val="20"/>
          <w:lang w:val="en-US"/>
        </w:rPr>
        <w:t>P</w:t>
      </w:r>
      <w:r w:rsidRPr="0005117C">
        <w:rPr>
          <w:rFonts w:ascii="Times New Roman" w:hAnsi="Times New Roman" w:cs="Times New Roman"/>
          <w:sz w:val="20"/>
          <w:lang w:val="en-US"/>
        </w:rPr>
        <w:t>revalence</w:t>
      </w:r>
      <w:r w:rsidR="0005117C">
        <w:rPr>
          <w:rFonts w:ascii="Times New Roman" w:hAnsi="Times New Roman" w:cs="Times New Roman"/>
          <w:sz w:val="20"/>
          <w:lang w:val="en-US"/>
        </w:rPr>
        <w:t>.</w:t>
      </w:r>
    </w:p>
    <w:p w:rsidR="0005117C" w:rsidRPr="0005117C" w:rsidRDefault="0005117C" w:rsidP="0005117C">
      <w:pPr>
        <w:spacing w:after="120"/>
        <w:rPr>
          <w:rFonts w:ascii="Times New Roman" w:hAnsi="Times New Roman" w:cs="Times New Roman"/>
          <w:b/>
          <w:sz w:val="24"/>
          <w:lang w:val="en-US"/>
        </w:rPr>
      </w:pPr>
      <w:r w:rsidRPr="0005117C">
        <w:rPr>
          <w:rFonts w:ascii="Times New Roman" w:hAnsi="Times New Roman" w:cs="Times New Roman"/>
          <w:b/>
          <w:sz w:val="24"/>
          <w:lang w:val="en-US"/>
        </w:rPr>
        <w:t>Biography</w:t>
      </w:r>
    </w:p>
    <w:p w:rsidR="00363F92" w:rsidRPr="0005117C" w:rsidRDefault="000F1503" w:rsidP="0005117C">
      <w:pPr>
        <w:spacing w:after="120"/>
        <w:jc w:val="both"/>
        <w:rPr>
          <w:rFonts w:ascii="Times New Roman" w:hAnsi="Times New Roman" w:cs="Times New Roman"/>
          <w:b/>
          <w:sz w:val="20"/>
          <w:lang w:val="en-US"/>
        </w:rPr>
      </w:pPr>
      <w:proofErr w:type="spellStart"/>
      <w:r w:rsidRPr="0005117C">
        <w:rPr>
          <w:rFonts w:ascii="Times New Roman" w:hAnsi="Times New Roman" w:cs="Times New Roman"/>
          <w:sz w:val="20"/>
          <w:lang w:val="en-US"/>
        </w:rPr>
        <w:t>Zarrin</w:t>
      </w:r>
      <w:proofErr w:type="spellEnd"/>
      <w:r w:rsidRPr="0005117C">
        <w:rPr>
          <w:rFonts w:ascii="Times New Roman" w:hAnsi="Times New Roman" w:cs="Times New Roman"/>
          <w:sz w:val="20"/>
          <w:lang w:val="en-US"/>
        </w:rPr>
        <w:t xml:space="preserve"> Ansari is a resident from Department of Pharmacology in Lokmanya Tilak Municipal Medical College and General Hospital at </w:t>
      </w:r>
      <w:r w:rsidRPr="0005117C">
        <w:rPr>
          <w:rFonts w:ascii="Times New Roman" w:hAnsi="Times New Roman" w:cs="Times New Roman"/>
          <w:sz w:val="20"/>
        </w:rPr>
        <w:t>Mumbai, India</w:t>
      </w:r>
      <w:r w:rsidRPr="0005117C">
        <w:rPr>
          <w:rFonts w:ascii="Times New Roman" w:hAnsi="Times New Roman" w:cs="Times New Roman"/>
          <w:sz w:val="20"/>
          <w:lang w:val="en-US"/>
        </w:rPr>
        <w:t xml:space="preserve">. </w:t>
      </w:r>
      <w:r w:rsidR="002273BA" w:rsidRPr="0005117C">
        <w:rPr>
          <w:rFonts w:ascii="Times New Roman" w:hAnsi="Times New Roman" w:cs="Times New Roman"/>
          <w:sz w:val="20"/>
          <w:lang w:val="en-US"/>
        </w:rPr>
        <w:t>He worked in the past as</w:t>
      </w:r>
      <w:r w:rsidRPr="0005117C">
        <w:rPr>
          <w:rFonts w:ascii="Times New Roman" w:hAnsi="Times New Roman" w:cs="Times New Roman"/>
          <w:sz w:val="20"/>
          <w:lang w:val="en-US"/>
        </w:rPr>
        <w:t xml:space="preserve"> Senior Medical Advisor (Neur</w:t>
      </w:r>
      <w:r w:rsidR="00862CAF" w:rsidRPr="0005117C">
        <w:rPr>
          <w:rFonts w:ascii="Times New Roman" w:hAnsi="Times New Roman" w:cs="Times New Roman"/>
          <w:sz w:val="20"/>
          <w:lang w:val="en-US"/>
        </w:rPr>
        <w:t>opsychiatry) with Cipla Limited.</w:t>
      </w:r>
    </w:p>
    <w:sectPr w:rsidR="00363F92" w:rsidRPr="000511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F92"/>
    <w:rsid w:val="0005117C"/>
    <w:rsid w:val="000F1503"/>
    <w:rsid w:val="000F3D4E"/>
    <w:rsid w:val="00133302"/>
    <w:rsid w:val="001C6894"/>
    <w:rsid w:val="002273BA"/>
    <w:rsid w:val="0034504F"/>
    <w:rsid w:val="00363F92"/>
    <w:rsid w:val="00862CAF"/>
    <w:rsid w:val="00DB20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Psychiatry - 2022</dc:creator>
  <cp:lastModifiedBy>Swetha Sandala</cp:lastModifiedBy>
  <cp:revision>5</cp:revision>
  <dcterms:created xsi:type="dcterms:W3CDTF">2022-07-29T06:18:00Z</dcterms:created>
  <dcterms:modified xsi:type="dcterms:W3CDTF">2022-07-29T09:54:00Z</dcterms:modified>
</cp:coreProperties>
</file>