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27DB5">
      <w:pPr>
        <w:rPr>
          <w:rFonts w:ascii="Times New Roman" w:hAnsi="Times New Roman" w:cs="Times New Roman"/>
          <w:b/>
          <w:sz w:val="32"/>
        </w:rPr>
      </w:pPr>
      <w:bookmarkStart w:id="0" w:name="_GoBack"/>
      <w:r w:rsidRPr="00227DB5">
        <w:rPr>
          <w:rFonts w:ascii="Times New Roman" w:hAnsi="Times New Roman" w:cs="Times New Roman"/>
          <w:b/>
          <w:sz w:val="32"/>
        </w:rPr>
        <w:t xml:space="preserve">The role of polymorphism </w:t>
      </w:r>
      <w:r>
        <w:rPr>
          <w:rFonts w:ascii="Times New Roman" w:hAnsi="Times New Roman" w:cs="Times New Roman"/>
          <w:b/>
          <w:sz w:val="32"/>
        </w:rPr>
        <w:t>of the fibrinogen gene FGB G (-</w:t>
      </w:r>
      <w:r w:rsidRPr="00227DB5">
        <w:rPr>
          <w:rFonts w:ascii="Times New Roman" w:hAnsi="Times New Roman" w:cs="Times New Roman"/>
          <w:b/>
          <w:sz w:val="32"/>
        </w:rPr>
        <w:t>455) A in the development of myocardial ischemia in patients with type 2 diabetes mellitus in Azerbaijan</w:t>
      </w:r>
    </w:p>
    <w:p w:rsidR="00227DB5" w:rsidRDefault="00227DB5">
      <w:pPr>
        <w:rPr>
          <w:rFonts w:ascii="Times New Roman" w:hAnsi="Times New Roman" w:cs="Times New Roman"/>
          <w:sz w:val="24"/>
        </w:rPr>
      </w:pPr>
      <w:proofErr w:type="spellStart"/>
      <w:r w:rsidRPr="00227DB5">
        <w:rPr>
          <w:rFonts w:ascii="Times New Roman" w:hAnsi="Times New Roman" w:cs="Times New Roman"/>
          <w:sz w:val="24"/>
        </w:rPr>
        <w:t>Nazirova</w:t>
      </w:r>
      <w:proofErr w:type="spellEnd"/>
      <w:r w:rsidRPr="00227DB5">
        <w:rPr>
          <w:rFonts w:ascii="Times New Roman" w:hAnsi="Times New Roman" w:cs="Times New Roman"/>
          <w:sz w:val="24"/>
        </w:rPr>
        <w:t xml:space="preserve"> </w:t>
      </w:r>
      <w:proofErr w:type="spellStart"/>
      <w:r w:rsidRPr="00227DB5">
        <w:rPr>
          <w:rFonts w:ascii="Times New Roman" w:hAnsi="Times New Roman" w:cs="Times New Roman"/>
          <w:sz w:val="24"/>
        </w:rPr>
        <w:t>Vafa</w:t>
      </w:r>
      <w:proofErr w:type="spellEnd"/>
      <w:r w:rsidRPr="00227DB5">
        <w:rPr>
          <w:rFonts w:ascii="Times New Roman" w:hAnsi="Times New Roman" w:cs="Times New Roman"/>
          <w:sz w:val="24"/>
        </w:rPr>
        <w:t xml:space="preserve"> Balabay</w:t>
      </w:r>
      <w:r w:rsidRPr="00227DB5">
        <w:rPr>
          <w:rFonts w:ascii="Times New Roman" w:hAnsi="Times New Roman" w:cs="Times New Roman"/>
          <w:sz w:val="24"/>
          <w:vertAlign w:val="superscript"/>
        </w:rPr>
        <w:t>1</w:t>
      </w:r>
      <w:r w:rsidR="004E570F">
        <w:rPr>
          <w:rFonts w:ascii="Times New Roman" w:hAnsi="Times New Roman" w:cs="Times New Roman"/>
          <w:sz w:val="24"/>
        </w:rPr>
        <w:t>*</w:t>
      </w:r>
      <w:r>
        <w:rPr>
          <w:rFonts w:ascii="Times New Roman" w:hAnsi="Times New Roman" w:cs="Times New Roman"/>
          <w:sz w:val="24"/>
        </w:rPr>
        <w:t xml:space="preserve"> and </w:t>
      </w:r>
      <w:proofErr w:type="spellStart"/>
      <w:r w:rsidRPr="00227DB5">
        <w:rPr>
          <w:rFonts w:ascii="Times New Roman" w:hAnsi="Times New Roman" w:cs="Times New Roman"/>
          <w:sz w:val="24"/>
        </w:rPr>
        <w:t>Guliyev</w:t>
      </w:r>
      <w:proofErr w:type="spellEnd"/>
      <w:r w:rsidRPr="00227DB5">
        <w:rPr>
          <w:rFonts w:ascii="Times New Roman" w:hAnsi="Times New Roman" w:cs="Times New Roman"/>
          <w:sz w:val="24"/>
        </w:rPr>
        <w:t xml:space="preserve"> </w:t>
      </w:r>
      <w:proofErr w:type="spellStart"/>
      <w:r w:rsidRPr="00227DB5">
        <w:rPr>
          <w:rFonts w:ascii="Times New Roman" w:hAnsi="Times New Roman" w:cs="Times New Roman"/>
          <w:sz w:val="24"/>
        </w:rPr>
        <w:t>Faig</w:t>
      </w:r>
      <w:proofErr w:type="spellEnd"/>
      <w:r w:rsidRPr="00227DB5">
        <w:rPr>
          <w:rFonts w:ascii="Times New Roman" w:hAnsi="Times New Roman" w:cs="Times New Roman"/>
          <w:sz w:val="24"/>
        </w:rPr>
        <w:t xml:space="preserve"> Ali Mukhtar</w:t>
      </w:r>
      <w:r w:rsidRPr="00227DB5">
        <w:rPr>
          <w:rFonts w:ascii="Times New Roman" w:hAnsi="Times New Roman" w:cs="Times New Roman"/>
          <w:sz w:val="24"/>
          <w:vertAlign w:val="superscript"/>
        </w:rPr>
        <w:t>2</w:t>
      </w:r>
    </w:p>
    <w:p w:rsidR="00227DB5" w:rsidRPr="00227DB5" w:rsidRDefault="00227DB5" w:rsidP="00227DB5">
      <w:pPr>
        <w:spacing w:after="0"/>
        <w:rPr>
          <w:rFonts w:ascii="Times New Roman" w:hAnsi="Times New Roman" w:cs="Times New Roman"/>
        </w:rPr>
      </w:pPr>
      <w:r w:rsidRPr="00227DB5">
        <w:rPr>
          <w:rFonts w:ascii="Times New Roman" w:hAnsi="Times New Roman" w:cs="Times New Roman"/>
          <w:vertAlign w:val="superscript"/>
        </w:rPr>
        <w:t>1</w:t>
      </w:r>
      <w:r w:rsidRPr="00227DB5">
        <w:rPr>
          <w:rFonts w:ascii="Times New Roman" w:hAnsi="Times New Roman" w:cs="Times New Roman"/>
        </w:rPr>
        <w:t>Special Treatment Health Complex, Azerbaijan</w:t>
      </w:r>
    </w:p>
    <w:p w:rsidR="00227DB5" w:rsidRDefault="00227DB5">
      <w:pPr>
        <w:rPr>
          <w:rFonts w:ascii="Times New Roman" w:hAnsi="Times New Roman" w:cs="Times New Roman"/>
        </w:rPr>
      </w:pPr>
      <w:r w:rsidRPr="00227DB5">
        <w:rPr>
          <w:rFonts w:ascii="Times New Roman" w:hAnsi="Times New Roman" w:cs="Times New Roman"/>
          <w:vertAlign w:val="superscript"/>
        </w:rPr>
        <w:t>2</w:t>
      </w:r>
      <w:r w:rsidRPr="00227DB5">
        <w:rPr>
          <w:rFonts w:ascii="Times New Roman" w:hAnsi="Times New Roman" w:cs="Times New Roman"/>
        </w:rPr>
        <w:t xml:space="preserve">Azerbaijan State Advanced Training Institute for Doctors named after A. </w:t>
      </w:r>
      <w:proofErr w:type="spellStart"/>
      <w:r w:rsidRPr="00227DB5">
        <w:rPr>
          <w:rFonts w:ascii="Times New Roman" w:hAnsi="Times New Roman" w:cs="Times New Roman"/>
        </w:rPr>
        <w:t>Aliyev</w:t>
      </w:r>
      <w:proofErr w:type="spellEnd"/>
      <w:r w:rsidRPr="00227DB5">
        <w:rPr>
          <w:rFonts w:ascii="Times New Roman" w:hAnsi="Times New Roman" w:cs="Times New Roman"/>
        </w:rPr>
        <w:t>, Azerbaijan</w:t>
      </w:r>
    </w:p>
    <w:p w:rsidR="00227DB5" w:rsidRPr="00227DB5" w:rsidRDefault="00227DB5" w:rsidP="00227DB5">
      <w:pPr>
        <w:jc w:val="center"/>
        <w:rPr>
          <w:rFonts w:ascii="Times New Roman" w:hAnsi="Times New Roman" w:cs="Times New Roman"/>
          <w:b/>
          <w:sz w:val="24"/>
        </w:rPr>
      </w:pPr>
      <w:r w:rsidRPr="00227DB5">
        <w:rPr>
          <w:rFonts w:ascii="Times New Roman" w:hAnsi="Times New Roman" w:cs="Times New Roman"/>
          <w:b/>
          <w:sz w:val="24"/>
        </w:rPr>
        <w:t>Abstract</w:t>
      </w:r>
    </w:p>
    <w:p w:rsidR="00227DB5" w:rsidRDefault="00227DB5" w:rsidP="00227DB5">
      <w:pPr>
        <w:jc w:val="both"/>
        <w:rPr>
          <w:rFonts w:ascii="Times New Roman" w:hAnsi="Times New Roman" w:cs="Times New Roman"/>
          <w:sz w:val="20"/>
        </w:rPr>
      </w:pPr>
      <w:r w:rsidRPr="00227DB5">
        <w:rPr>
          <w:rFonts w:ascii="Times New Roman" w:hAnsi="Times New Roman" w:cs="Times New Roman"/>
          <w:b/>
          <w:sz w:val="20"/>
        </w:rPr>
        <w:t>Relevance:</w:t>
      </w:r>
      <w:r w:rsidRPr="00227DB5">
        <w:rPr>
          <w:rFonts w:ascii="Times New Roman" w:hAnsi="Times New Roman" w:cs="Times New Roman"/>
          <w:sz w:val="20"/>
        </w:rPr>
        <w:t xml:space="preserve"> Fibrinogen plays a crucial role in the pathophysiological process of cardiovascular diseases.</w:t>
      </w:r>
      <w:r>
        <w:rPr>
          <w:rFonts w:ascii="Times New Roman" w:hAnsi="Times New Roman" w:cs="Times New Roman"/>
          <w:sz w:val="20"/>
        </w:rPr>
        <w:t xml:space="preserve"> </w:t>
      </w:r>
      <w:r w:rsidRPr="00227DB5">
        <w:rPr>
          <w:rFonts w:ascii="Times New Roman" w:hAnsi="Times New Roman" w:cs="Times New Roman"/>
          <w:sz w:val="20"/>
        </w:rPr>
        <w:t xml:space="preserve">There is sporadic data on the association of FGB gene polymorphism with an increased risk of developing ischemic heart disease in patients with type 2 diabetes mellitus. The DNA region in the regulatory region of the FGB gene, in which </w:t>
      </w:r>
      <w:r w:rsidR="004E570F" w:rsidRPr="00227DB5">
        <w:rPr>
          <w:rFonts w:ascii="Times New Roman" w:hAnsi="Times New Roman" w:cs="Times New Roman"/>
          <w:sz w:val="20"/>
        </w:rPr>
        <w:t xml:space="preserve">Guanine </w:t>
      </w:r>
      <w:r w:rsidRPr="00227DB5">
        <w:rPr>
          <w:rFonts w:ascii="Times New Roman" w:hAnsi="Times New Roman" w:cs="Times New Roman"/>
          <w:sz w:val="20"/>
        </w:rPr>
        <w:t xml:space="preserve">(G) is replaced by </w:t>
      </w:r>
      <w:r w:rsidR="004E570F" w:rsidRPr="00227DB5">
        <w:rPr>
          <w:rFonts w:ascii="Times New Roman" w:hAnsi="Times New Roman" w:cs="Times New Roman"/>
          <w:sz w:val="20"/>
        </w:rPr>
        <w:t xml:space="preserve">Adenine </w:t>
      </w:r>
      <w:r w:rsidRPr="00227DB5">
        <w:rPr>
          <w:rFonts w:ascii="Times New Roman" w:hAnsi="Times New Roman" w:cs="Times New Roman"/>
          <w:sz w:val="20"/>
        </w:rPr>
        <w:t xml:space="preserve">(A) at position </w:t>
      </w:r>
      <w:r>
        <w:rPr>
          <w:rFonts w:ascii="Times New Roman" w:hAnsi="Times New Roman" w:cs="Times New Roman"/>
          <w:sz w:val="20"/>
        </w:rPr>
        <w:t>-455, is designated as the G (-</w:t>
      </w:r>
      <w:r w:rsidRPr="00227DB5">
        <w:rPr>
          <w:rFonts w:ascii="Times New Roman" w:hAnsi="Times New Roman" w:cs="Times New Roman"/>
          <w:sz w:val="20"/>
        </w:rPr>
        <w:t>455) A genetic marker. The presence of a substitution affects the intensity of fibrinogen</w:t>
      </w:r>
      <w:r>
        <w:rPr>
          <w:rFonts w:ascii="Times New Roman" w:hAnsi="Times New Roman" w:cs="Times New Roman"/>
          <w:sz w:val="20"/>
        </w:rPr>
        <w:t xml:space="preserve"> protein synthesis.</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Fibrinogen is a protein produced in the liver and circulating in the blood plasma.</w:t>
      </w:r>
      <w:r>
        <w:rPr>
          <w:rFonts w:ascii="Times New Roman" w:hAnsi="Times New Roman" w:cs="Times New Roman"/>
          <w:sz w:val="20"/>
        </w:rPr>
        <w:t xml:space="preserve"> </w:t>
      </w:r>
      <w:r w:rsidRPr="00227DB5">
        <w:rPr>
          <w:rFonts w:ascii="Times New Roman" w:hAnsi="Times New Roman" w:cs="Times New Roman"/>
          <w:sz w:val="20"/>
        </w:rPr>
        <w:t>When the blood coagulation system is activated, it undergoes enzymatic cleavage by the enzyme thrombin. The resulting fibrin monomer, under the action of the active blood coagulation factor F13 precipitates in the form of white filaments of fibrin polymer.</w:t>
      </w:r>
      <w:r>
        <w:rPr>
          <w:rFonts w:ascii="Times New Roman" w:hAnsi="Times New Roman" w:cs="Times New Roman"/>
          <w:sz w:val="20"/>
        </w:rPr>
        <w:t xml:space="preserve"> </w:t>
      </w:r>
      <w:r w:rsidRPr="00227DB5">
        <w:rPr>
          <w:rFonts w:ascii="Times New Roman" w:hAnsi="Times New Roman" w:cs="Times New Roman"/>
          <w:sz w:val="20"/>
        </w:rPr>
        <w:t>Fibrin is the basis of a blood clot and subsequently forms a thrombus, completing the clotting process.</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For this marker, there is no concept of "norm" and "pathology", since the gene polymorphism is being studied.</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purpose of the study is to determine the frequency of three genetic variants of the FGB gene in patients with type 2 diabetes mellitus complicated by ischemic heart disease.</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b/>
          <w:sz w:val="20"/>
        </w:rPr>
        <w:t>Materials and methods:</w:t>
      </w:r>
      <w:r>
        <w:rPr>
          <w:rFonts w:ascii="Times New Roman" w:hAnsi="Times New Roman" w:cs="Times New Roman"/>
          <w:sz w:val="20"/>
        </w:rPr>
        <w:t xml:space="preserve"> </w:t>
      </w:r>
      <w:r w:rsidRPr="00227DB5">
        <w:rPr>
          <w:rFonts w:ascii="Times New Roman" w:hAnsi="Times New Roman" w:cs="Times New Roman"/>
          <w:sz w:val="20"/>
        </w:rPr>
        <w:t>The study</w:t>
      </w:r>
      <w:r>
        <w:rPr>
          <w:rFonts w:ascii="Times New Roman" w:hAnsi="Times New Roman" w:cs="Times New Roman"/>
          <w:sz w:val="20"/>
        </w:rPr>
        <w:t xml:space="preserve"> included 48 people aged 55.6+</w:t>
      </w:r>
      <w:r w:rsidRPr="00227DB5">
        <w:rPr>
          <w:rFonts w:ascii="Times New Roman" w:hAnsi="Times New Roman" w:cs="Times New Roman"/>
          <w:sz w:val="20"/>
        </w:rPr>
        <w:t>8.5 years, of which 24 patients with T2DM complicated by ischemic heart disease.</w:t>
      </w:r>
      <w:r>
        <w:rPr>
          <w:rFonts w:ascii="Times New Roman" w:hAnsi="Times New Roman" w:cs="Times New Roman"/>
          <w:sz w:val="20"/>
        </w:rPr>
        <w:t xml:space="preserve"> </w:t>
      </w:r>
      <w:r w:rsidRPr="00227DB5">
        <w:rPr>
          <w:rFonts w:ascii="Times New Roman" w:hAnsi="Times New Roman" w:cs="Times New Roman"/>
          <w:sz w:val="20"/>
        </w:rPr>
        <w:t>The control group consisted of 24 healthy people without these pathologies.</w:t>
      </w:r>
      <w:r>
        <w:rPr>
          <w:rFonts w:ascii="Times New Roman" w:hAnsi="Times New Roman" w:cs="Times New Roman"/>
          <w:sz w:val="20"/>
        </w:rPr>
        <w:t xml:space="preserve"> </w:t>
      </w:r>
      <w:r w:rsidRPr="00227DB5">
        <w:rPr>
          <w:rFonts w:ascii="Times New Roman" w:hAnsi="Times New Roman" w:cs="Times New Roman"/>
          <w:sz w:val="20"/>
        </w:rPr>
        <w:t xml:space="preserve">Determination of polymorphism </w:t>
      </w:r>
      <w:r>
        <w:rPr>
          <w:rFonts w:ascii="Times New Roman" w:hAnsi="Times New Roman" w:cs="Times New Roman"/>
          <w:sz w:val="20"/>
        </w:rPr>
        <w:t>of the fibrinogen gene FGB G (-</w:t>
      </w:r>
      <w:r w:rsidRPr="00227DB5">
        <w:rPr>
          <w:rFonts w:ascii="Times New Roman" w:hAnsi="Times New Roman" w:cs="Times New Roman"/>
          <w:sz w:val="20"/>
        </w:rPr>
        <w:t xml:space="preserve">455) A was carried out by mass spectrometry (MALDI-TOF) on a </w:t>
      </w:r>
      <w:proofErr w:type="spellStart"/>
      <w:r w:rsidRPr="00227DB5">
        <w:rPr>
          <w:rFonts w:ascii="Times New Roman" w:hAnsi="Times New Roman" w:cs="Times New Roman"/>
          <w:sz w:val="20"/>
        </w:rPr>
        <w:t>Seguenon</w:t>
      </w:r>
      <w:proofErr w:type="spellEnd"/>
      <w:r w:rsidRPr="00227DB5">
        <w:rPr>
          <w:rFonts w:ascii="Times New Roman" w:hAnsi="Times New Roman" w:cs="Times New Roman"/>
          <w:sz w:val="20"/>
        </w:rPr>
        <w:t xml:space="preserve"> mass spectrometer (USA).</w:t>
      </w:r>
      <w:r>
        <w:rPr>
          <w:rFonts w:ascii="Times New Roman" w:hAnsi="Times New Roman" w:cs="Times New Roman"/>
          <w:sz w:val="20"/>
        </w:rPr>
        <w:t xml:space="preserve"> </w:t>
      </w:r>
      <w:r w:rsidRPr="00227DB5">
        <w:rPr>
          <w:rFonts w:ascii="Times New Roman" w:hAnsi="Times New Roman" w:cs="Times New Roman"/>
          <w:sz w:val="20"/>
        </w:rPr>
        <w:t>The study material was whole blood.</w:t>
      </w:r>
      <w:r>
        <w:rPr>
          <w:rFonts w:ascii="Times New Roman" w:hAnsi="Times New Roman" w:cs="Times New Roman"/>
          <w:sz w:val="20"/>
        </w:rPr>
        <w:t xml:space="preserve"> </w:t>
      </w:r>
      <w:r w:rsidRPr="00227DB5">
        <w:rPr>
          <w:rFonts w:ascii="Times New Roman" w:hAnsi="Times New Roman" w:cs="Times New Roman"/>
          <w:sz w:val="20"/>
        </w:rPr>
        <w:t>Statistical processing of the results was carried out using the Microsoft Office Excel, Statistic 16.0 application package. All analyses were performed at a significance level of p&lt;0.05.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b/>
          <w:sz w:val="20"/>
        </w:rPr>
        <w:t>Results:</w:t>
      </w:r>
      <w:r w:rsidRPr="00227DB5">
        <w:rPr>
          <w:rFonts w:ascii="Times New Roman" w:hAnsi="Times New Roman" w:cs="Times New Roman"/>
          <w:sz w:val="20"/>
        </w:rPr>
        <w:t xml:space="preserve"> As a result of our studies of the occurrence </w:t>
      </w:r>
      <w:r>
        <w:rPr>
          <w:rFonts w:ascii="Times New Roman" w:hAnsi="Times New Roman" w:cs="Times New Roman"/>
          <w:sz w:val="20"/>
        </w:rPr>
        <w:t>of polymorphism of the FGB G (-</w:t>
      </w:r>
      <w:r w:rsidRPr="00227DB5">
        <w:rPr>
          <w:rFonts w:ascii="Times New Roman" w:hAnsi="Times New Roman" w:cs="Times New Roman"/>
          <w:sz w:val="20"/>
        </w:rPr>
        <w:t>455) A gene of fibrinogen responsible for the formation of thrombosis and myocardial ischemia in the group of patients with T2DM and ischemic heart disease, the prevalence of t</w:t>
      </w:r>
      <w:r>
        <w:rPr>
          <w:rFonts w:ascii="Times New Roman" w:hAnsi="Times New Roman" w:cs="Times New Roman"/>
          <w:sz w:val="20"/>
        </w:rPr>
        <w:t>he mutant homozygous genotype G/G-</w:t>
      </w:r>
      <w:r w:rsidRPr="00227DB5">
        <w:rPr>
          <w:rFonts w:ascii="Times New Roman" w:hAnsi="Times New Roman" w:cs="Times New Roman"/>
          <w:sz w:val="20"/>
        </w:rPr>
        <w:t>5</w:t>
      </w:r>
      <w:r>
        <w:rPr>
          <w:rFonts w:ascii="Times New Roman" w:hAnsi="Times New Roman" w:cs="Times New Roman"/>
          <w:sz w:val="20"/>
        </w:rPr>
        <w:t>8.3% (control-</w:t>
      </w:r>
      <w:r w:rsidRPr="00227DB5">
        <w:rPr>
          <w:rFonts w:ascii="Times New Roman" w:hAnsi="Times New Roman" w:cs="Times New Roman"/>
          <w:sz w:val="20"/>
        </w:rPr>
        <w:t>58.3); heterozygous mutant genotype G/A was found in 33.3% (control-41.7%); normal homozygo</w:t>
      </w:r>
      <w:r>
        <w:rPr>
          <w:rFonts w:ascii="Times New Roman" w:hAnsi="Times New Roman" w:cs="Times New Roman"/>
          <w:sz w:val="20"/>
        </w:rPr>
        <w:t>us genotype A/A-8.3% (control-</w:t>
      </w:r>
      <w:r w:rsidRPr="00227DB5">
        <w:rPr>
          <w:rFonts w:ascii="Times New Roman" w:hAnsi="Times New Roman" w:cs="Times New Roman"/>
          <w:sz w:val="20"/>
        </w:rPr>
        <w:t>0).</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distribution of G/G genotypes of the FGB fibrinogen polymorphism showed no significant differences between the group of patients with type 2 diabetes mellitus and the control group (p&gt;0.05).</w:t>
      </w:r>
      <w:r>
        <w:rPr>
          <w:rFonts w:ascii="Times New Roman" w:hAnsi="Times New Roman" w:cs="Times New Roman"/>
          <w:sz w:val="20"/>
        </w:rPr>
        <w:t xml:space="preserve"> </w:t>
      </w:r>
      <w:r w:rsidRPr="00227DB5">
        <w:rPr>
          <w:rFonts w:ascii="Times New Roman" w:hAnsi="Times New Roman" w:cs="Times New Roman"/>
          <w:sz w:val="20"/>
        </w:rPr>
        <w:t>Also, there were no significant differences between the group of patients with T2 diabetes mellitus and the control group in the detection of the normal homozygous A/A genotype (p&gt;0.05).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distribution of the mutant heterozygous genotype G/</w:t>
      </w:r>
      <w:proofErr w:type="gramStart"/>
      <w:r w:rsidRPr="00227DB5">
        <w:rPr>
          <w:rFonts w:ascii="Times New Roman" w:hAnsi="Times New Roman" w:cs="Times New Roman"/>
          <w:sz w:val="20"/>
        </w:rPr>
        <w:t>A</w:t>
      </w:r>
      <w:proofErr w:type="gramEnd"/>
      <w:r w:rsidRPr="00227DB5">
        <w:rPr>
          <w:rFonts w:ascii="Times New Roman" w:hAnsi="Times New Roman" w:cs="Times New Roman"/>
          <w:sz w:val="20"/>
        </w:rPr>
        <w:t xml:space="preserve"> in patients with T2DM and İHD compared with the control group had a significant difference (p&lt;0.05).</w:t>
      </w:r>
    </w:p>
    <w:p w:rsidR="00227DB5" w:rsidRPr="00227DB5" w:rsidRDefault="00227DB5" w:rsidP="00227DB5">
      <w:pPr>
        <w:jc w:val="both"/>
        <w:rPr>
          <w:rFonts w:ascii="Times New Roman" w:hAnsi="Times New Roman" w:cs="Times New Roman"/>
          <w:sz w:val="20"/>
        </w:rPr>
      </w:pPr>
      <w:r>
        <w:rPr>
          <w:rFonts w:ascii="Times New Roman" w:hAnsi="Times New Roman" w:cs="Times New Roman"/>
          <w:b/>
          <w:sz w:val="20"/>
        </w:rPr>
        <w:t>Conclusion</w:t>
      </w:r>
      <w:r w:rsidRPr="00227DB5">
        <w:rPr>
          <w:rFonts w:ascii="Times New Roman" w:hAnsi="Times New Roman" w:cs="Times New Roman"/>
          <w:b/>
          <w:sz w:val="20"/>
        </w:rPr>
        <w:t>:</w:t>
      </w:r>
      <w:r w:rsidRPr="00227DB5">
        <w:rPr>
          <w:rFonts w:ascii="Times New Roman" w:hAnsi="Times New Roman" w:cs="Times New Roman"/>
          <w:sz w:val="20"/>
        </w:rPr>
        <w:t xml:space="preserve"> </w:t>
      </w:r>
      <w:r>
        <w:rPr>
          <w:rFonts w:ascii="Times New Roman" w:hAnsi="Times New Roman" w:cs="Times New Roman"/>
          <w:sz w:val="20"/>
        </w:rPr>
        <w:t>T</w:t>
      </w:r>
      <w:r w:rsidRPr="00227DB5">
        <w:rPr>
          <w:rFonts w:ascii="Times New Roman" w:hAnsi="Times New Roman" w:cs="Times New Roman"/>
          <w:sz w:val="20"/>
        </w:rPr>
        <w:t xml:space="preserve">he distribution of the homozygous G/G genotype and the homozygous mutant A/A genotype of the FGB gene showed no significant differences between patients with type 2 diabetes mellitus and CAD and the control </w:t>
      </w:r>
      <w:r w:rsidRPr="00227DB5">
        <w:rPr>
          <w:rFonts w:ascii="Times New Roman" w:hAnsi="Times New Roman" w:cs="Times New Roman"/>
          <w:sz w:val="20"/>
        </w:rPr>
        <w:lastRenderedPageBreak/>
        <w:t>group (p&gt;0.05). The heterozygous G/A genotype was more common in patients with T2DM and CHD compared with the control group (p&lt;0.05).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w:t>
      </w:r>
      <w:r>
        <w:rPr>
          <w:rFonts w:ascii="Times New Roman" w:hAnsi="Times New Roman" w:cs="Times New Roman"/>
          <w:sz w:val="20"/>
        </w:rPr>
        <w:t>he FGB G (-</w:t>
      </w:r>
      <w:r w:rsidRPr="00227DB5">
        <w:rPr>
          <w:rFonts w:ascii="Times New Roman" w:hAnsi="Times New Roman" w:cs="Times New Roman"/>
          <w:sz w:val="20"/>
        </w:rPr>
        <w:t>455) A gene encodes the beta-polypeptide chain of the fibrinogen protein.</w:t>
      </w:r>
      <w:r>
        <w:rPr>
          <w:rFonts w:ascii="Times New Roman" w:hAnsi="Times New Roman" w:cs="Times New Roman"/>
          <w:sz w:val="20"/>
        </w:rPr>
        <w:t xml:space="preserve"> </w:t>
      </w:r>
      <w:r w:rsidRPr="00227DB5">
        <w:rPr>
          <w:rFonts w:ascii="Times New Roman" w:hAnsi="Times New Roman" w:cs="Times New Roman"/>
          <w:sz w:val="20"/>
        </w:rPr>
        <w:t>The substitution of G (guanine) for A (adenine) in the regulatory region of the FGB gene is associated with an increased concentration of the fibrinogen protein in the blood plasma, which is one of the factors in the development of a thrombus in patients with diabetes mellitus.</w:t>
      </w:r>
    </w:p>
    <w:p w:rsidR="00227DB5" w:rsidRDefault="00227DB5" w:rsidP="00227DB5">
      <w:pPr>
        <w:jc w:val="both"/>
        <w:rPr>
          <w:rFonts w:ascii="Times New Roman" w:hAnsi="Times New Roman" w:cs="Times New Roman"/>
          <w:sz w:val="20"/>
        </w:rPr>
      </w:pPr>
      <w:r w:rsidRPr="00227DB5">
        <w:rPr>
          <w:rFonts w:ascii="Times New Roman" w:hAnsi="Times New Roman" w:cs="Times New Roman"/>
          <w:sz w:val="20"/>
        </w:rPr>
        <w:t xml:space="preserve">A statistically significant difference in the frequency of occurrence of the GA polymorphism </w:t>
      </w:r>
      <w:r>
        <w:rPr>
          <w:rFonts w:ascii="Times New Roman" w:hAnsi="Times New Roman" w:cs="Times New Roman"/>
          <w:sz w:val="20"/>
        </w:rPr>
        <w:t>of the fibrinogen gene FGB G (-</w:t>
      </w:r>
      <w:r w:rsidRPr="00227DB5">
        <w:rPr>
          <w:rFonts w:ascii="Times New Roman" w:hAnsi="Times New Roman" w:cs="Times New Roman"/>
          <w:sz w:val="20"/>
        </w:rPr>
        <w:t>455) A was found in Azerbaijani patients with DM2 and CHD compared to the group of people without diabetes.</w:t>
      </w:r>
      <w:r>
        <w:rPr>
          <w:rFonts w:ascii="Times New Roman" w:hAnsi="Times New Roman" w:cs="Times New Roman"/>
          <w:sz w:val="20"/>
        </w:rPr>
        <w:t xml:space="preserve"> </w:t>
      </w:r>
      <w:r w:rsidRPr="00227DB5">
        <w:rPr>
          <w:rFonts w:ascii="Times New Roman" w:hAnsi="Times New Roman" w:cs="Times New Roman"/>
          <w:sz w:val="20"/>
        </w:rPr>
        <w:t>The data obtained suggests that carriers of the G/A variant have a high risk of thrombus formation.</w:t>
      </w:r>
      <w:r>
        <w:rPr>
          <w:rFonts w:ascii="Times New Roman" w:hAnsi="Times New Roman" w:cs="Times New Roman"/>
          <w:sz w:val="20"/>
        </w:rPr>
        <w:t xml:space="preserve"> </w:t>
      </w:r>
      <w:r w:rsidRPr="00227DB5">
        <w:rPr>
          <w:rFonts w:ascii="Times New Roman" w:hAnsi="Times New Roman" w:cs="Times New Roman"/>
          <w:sz w:val="20"/>
        </w:rPr>
        <w:t>Additional measures are required to prevent and treat thrombotic complications in patients with type 2 diabetes.</w:t>
      </w:r>
    </w:p>
    <w:p w:rsidR="004E570F" w:rsidRPr="004E570F" w:rsidRDefault="00DE4987" w:rsidP="004E570F">
      <w:pPr>
        <w:rPr>
          <w:rFonts w:ascii="Times New Roman" w:hAnsi="Times New Roman" w:cs="Times New Roman"/>
          <w:sz w:val="24"/>
        </w:rPr>
      </w:pPr>
      <w:r w:rsidRPr="004E570F">
        <w:rPr>
          <w:rFonts w:ascii="Times New Roman" w:hAnsi="Times New Roman" w:cs="Times New Roman"/>
          <w:b/>
          <w:sz w:val="24"/>
        </w:rPr>
        <w:t>Biography</w:t>
      </w:r>
    </w:p>
    <w:p w:rsidR="00DE4987" w:rsidRDefault="00DE4987" w:rsidP="00227DB5">
      <w:pPr>
        <w:jc w:val="both"/>
        <w:rPr>
          <w:rFonts w:ascii="Times New Roman" w:hAnsi="Times New Roman" w:cs="Times New Roman"/>
          <w:sz w:val="20"/>
        </w:rPr>
      </w:pPr>
      <w:proofErr w:type="spellStart"/>
      <w:r w:rsidRPr="00DE4987">
        <w:rPr>
          <w:rFonts w:ascii="Times New Roman" w:hAnsi="Times New Roman" w:cs="Times New Roman"/>
          <w:sz w:val="20"/>
        </w:rPr>
        <w:t>Nazirova</w:t>
      </w:r>
      <w:proofErr w:type="spellEnd"/>
      <w:r w:rsidRPr="00DE4987">
        <w:rPr>
          <w:rFonts w:ascii="Times New Roman" w:hAnsi="Times New Roman" w:cs="Times New Roman"/>
          <w:sz w:val="20"/>
        </w:rPr>
        <w:t xml:space="preserve"> </w:t>
      </w:r>
      <w:proofErr w:type="spellStart"/>
      <w:r w:rsidRPr="00DE4987">
        <w:rPr>
          <w:rFonts w:ascii="Times New Roman" w:hAnsi="Times New Roman" w:cs="Times New Roman"/>
          <w:sz w:val="20"/>
        </w:rPr>
        <w:t>Vafa</w:t>
      </w:r>
      <w:proofErr w:type="spellEnd"/>
      <w:r w:rsidRPr="00DE4987">
        <w:rPr>
          <w:rFonts w:ascii="Times New Roman" w:hAnsi="Times New Roman" w:cs="Times New Roman"/>
          <w:sz w:val="20"/>
        </w:rPr>
        <w:t xml:space="preserve"> </w:t>
      </w:r>
      <w:proofErr w:type="spellStart"/>
      <w:r w:rsidRPr="00DE4987">
        <w:rPr>
          <w:rFonts w:ascii="Times New Roman" w:hAnsi="Times New Roman" w:cs="Times New Roman"/>
          <w:sz w:val="20"/>
        </w:rPr>
        <w:t>Balabay</w:t>
      </w:r>
      <w:proofErr w:type="spellEnd"/>
      <w:r w:rsidRPr="00DE4987">
        <w:rPr>
          <w:rFonts w:ascii="Times New Roman" w:hAnsi="Times New Roman" w:cs="Times New Roman"/>
          <w:sz w:val="20"/>
        </w:rPr>
        <w:t xml:space="preserve"> is affiliated to the Special Medical Health Complex, Baku, Azerbaijan. Her research interests reflect in her wide range of publications in various national and international journals.</w:t>
      </w:r>
      <w:bookmarkEnd w:id="0"/>
    </w:p>
    <w:sectPr w:rsidR="00DE4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DB5"/>
    <w:rsid w:val="00227DB5"/>
    <w:rsid w:val="00474203"/>
    <w:rsid w:val="004E570F"/>
    <w:rsid w:val="00535872"/>
    <w:rsid w:val="00907560"/>
    <w:rsid w:val="00924B33"/>
    <w:rsid w:val="00DD3267"/>
    <w:rsid w:val="00DE4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7560"/>
    <w:rPr>
      <w:sz w:val="16"/>
      <w:szCs w:val="16"/>
    </w:rPr>
  </w:style>
  <w:style w:type="paragraph" w:styleId="CommentText">
    <w:name w:val="annotation text"/>
    <w:basedOn w:val="Normal"/>
    <w:link w:val="CommentTextChar"/>
    <w:uiPriority w:val="99"/>
    <w:semiHidden/>
    <w:unhideWhenUsed/>
    <w:rsid w:val="00907560"/>
    <w:pPr>
      <w:spacing w:line="240" w:lineRule="auto"/>
    </w:pPr>
    <w:rPr>
      <w:sz w:val="20"/>
      <w:szCs w:val="20"/>
    </w:rPr>
  </w:style>
  <w:style w:type="character" w:customStyle="1" w:styleId="CommentTextChar">
    <w:name w:val="Comment Text Char"/>
    <w:basedOn w:val="DefaultParagraphFont"/>
    <w:link w:val="CommentText"/>
    <w:uiPriority w:val="99"/>
    <w:semiHidden/>
    <w:rsid w:val="00907560"/>
    <w:rPr>
      <w:sz w:val="20"/>
      <w:szCs w:val="20"/>
    </w:rPr>
  </w:style>
  <w:style w:type="paragraph" w:styleId="CommentSubject">
    <w:name w:val="annotation subject"/>
    <w:basedOn w:val="CommentText"/>
    <w:next w:val="CommentText"/>
    <w:link w:val="CommentSubjectChar"/>
    <w:uiPriority w:val="99"/>
    <w:semiHidden/>
    <w:unhideWhenUsed/>
    <w:rsid w:val="00907560"/>
    <w:rPr>
      <w:b/>
      <w:bCs/>
    </w:rPr>
  </w:style>
  <w:style w:type="character" w:customStyle="1" w:styleId="CommentSubjectChar">
    <w:name w:val="Comment Subject Char"/>
    <w:basedOn w:val="CommentTextChar"/>
    <w:link w:val="CommentSubject"/>
    <w:uiPriority w:val="99"/>
    <w:semiHidden/>
    <w:rsid w:val="00907560"/>
    <w:rPr>
      <w:b/>
      <w:bCs/>
      <w:sz w:val="20"/>
      <w:szCs w:val="20"/>
    </w:rPr>
  </w:style>
  <w:style w:type="paragraph" w:styleId="BalloonText">
    <w:name w:val="Balloon Text"/>
    <w:basedOn w:val="Normal"/>
    <w:link w:val="BalloonTextChar"/>
    <w:uiPriority w:val="99"/>
    <w:semiHidden/>
    <w:unhideWhenUsed/>
    <w:rsid w:val="00907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5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7560"/>
    <w:rPr>
      <w:sz w:val="16"/>
      <w:szCs w:val="16"/>
    </w:rPr>
  </w:style>
  <w:style w:type="paragraph" w:styleId="CommentText">
    <w:name w:val="annotation text"/>
    <w:basedOn w:val="Normal"/>
    <w:link w:val="CommentTextChar"/>
    <w:uiPriority w:val="99"/>
    <w:semiHidden/>
    <w:unhideWhenUsed/>
    <w:rsid w:val="00907560"/>
    <w:pPr>
      <w:spacing w:line="240" w:lineRule="auto"/>
    </w:pPr>
    <w:rPr>
      <w:sz w:val="20"/>
      <w:szCs w:val="20"/>
    </w:rPr>
  </w:style>
  <w:style w:type="character" w:customStyle="1" w:styleId="CommentTextChar">
    <w:name w:val="Comment Text Char"/>
    <w:basedOn w:val="DefaultParagraphFont"/>
    <w:link w:val="CommentText"/>
    <w:uiPriority w:val="99"/>
    <w:semiHidden/>
    <w:rsid w:val="00907560"/>
    <w:rPr>
      <w:sz w:val="20"/>
      <w:szCs w:val="20"/>
    </w:rPr>
  </w:style>
  <w:style w:type="paragraph" w:styleId="CommentSubject">
    <w:name w:val="annotation subject"/>
    <w:basedOn w:val="CommentText"/>
    <w:next w:val="CommentText"/>
    <w:link w:val="CommentSubjectChar"/>
    <w:uiPriority w:val="99"/>
    <w:semiHidden/>
    <w:unhideWhenUsed/>
    <w:rsid w:val="00907560"/>
    <w:rPr>
      <w:b/>
      <w:bCs/>
    </w:rPr>
  </w:style>
  <w:style w:type="character" w:customStyle="1" w:styleId="CommentSubjectChar">
    <w:name w:val="Comment Subject Char"/>
    <w:basedOn w:val="CommentTextChar"/>
    <w:link w:val="CommentSubject"/>
    <w:uiPriority w:val="99"/>
    <w:semiHidden/>
    <w:rsid w:val="00907560"/>
    <w:rPr>
      <w:b/>
      <w:bCs/>
      <w:sz w:val="20"/>
      <w:szCs w:val="20"/>
    </w:rPr>
  </w:style>
  <w:style w:type="paragraph" w:styleId="BalloonText">
    <w:name w:val="Balloon Text"/>
    <w:basedOn w:val="Normal"/>
    <w:link w:val="BalloonTextChar"/>
    <w:uiPriority w:val="99"/>
    <w:semiHidden/>
    <w:unhideWhenUsed/>
    <w:rsid w:val="00907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5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2022-10-14T09:16:00Z</dcterms:created>
  <dcterms:modified xsi:type="dcterms:W3CDTF">2022-10-14T09:43:00Z</dcterms:modified>
</cp:coreProperties>
</file>