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C0BF7">
      <w:pPr>
        <w:rPr>
          <w:rFonts w:ascii="Times New Roman" w:hAnsi="Times New Roman" w:cs="Times New Roman"/>
          <w:b/>
          <w:sz w:val="32"/>
        </w:rPr>
      </w:pPr>
      <w:r w:rsidRPr="00BC0BF7">
        <w:rPr>
          <w:rFonts w:ascii="Times New Roman" w:hAnsi="Times New Roman" w:cs="Times New Roman"/>
          <w:b/>
          <w:sz w:val="32"/>
        </w:rPr>
        <w:t xml:space="preserve">Adverse events following immunization associated with coronavirus disease 2019 (COVID-19) vaccines: A descriptive analysis from </w:t>
      </w:r>
      <w:proofErr w:type="spellStart"/>
      <w:r w:rsidR="0000072E">
        <w:rPr>
          <w:rFonts w:ascii="Times New Roman" w:hAnsi="Times New Roman" w:cs="Times New Roman"/>
          <w:b/>
          <w:sz w:val="32"/>
        </w:rPr>
        <w:t>V</w:t>
      </w:r>
      <w:r w:rsidRPr="00BC0BF7">
        <w:rPr>
          <w:rFonts w:ascii="Times New Roman" w:hAnsi="Times New Roman" w:cs="Times New Roman"/>
          <w:b/>
          <w:sz w:val="32"/>
        </w:rPr>
        <w:t>igi</w:t>
      </w:r>
      <w:r w:rsidR="0000072E">
        <w:rPr>
          <w:rFonts w:ascii="Times New Roman" w:hAnsi="Times New Roman" w:cs="Times New Roman"/>
          <w:b/>
          <w:sz w:val="32"/>
        </w:rPr>
        <w:t>A</w:t>
      </w:r>
      <w:r w:rsidRPr="00BC0BF7">
        <w:rPr>
          <w:rFonts w:ascii="Times New Roman" w:hAnsi="Times New Roman" w:cs="Times New Roman"/>
          <w:b/>
          <w:sz w:val="32"/>
        </w:rPr>
        <w:t>ccess</w:t>
      </w:r>
      <w:proofErr w:type="spellEnd"/>
    </w:p>
    <w:p w:rsidR="00BC0BF7" w:rsidRDefault="00BC0BF7">
      <w:pPr>
        <w:rPr>
          <w:rFonts w:ascii="Times New Roman" w:hAnsi="Times New Roman" w:cs="Times New Roman"/>
          <w:sz w:val="24"/>
        </w:rPr>
      </w:pPr>
      <w:r w:rsidRPr="00BC0BF7">
        <w:rPr>
          <w:rFonts w:ascii="Times New Roman" w:hAnsi="Times New Roman" w:cs="Times New Roman"/>
          <w:sz w:val="24"/>
        </w:rPr>
        <w:t xml:space="preserve">Peter </w:t>
      </w:r>
      <w:proofErr w:type="spellStart"/>
      <w:r w:rsidRPr="00BC0BF7">
        <w:rPr>
          <w:rFonts w:ascii="Times New Roman" w:hAnsi="Times New Roman" w:cs="Times New Roman"/>
          <w:sz w:val="24"/>
        </w:rPr>
        <w:t>Yamoah</w:t>
      </w:r>
      <w:proofErr w:type="spellEnd"/>
    </w:p>
    <w:p w:rsidR="00BC0BF7" w:rsidRPr="00FC3E90" w:rsidRDefault="00FC3E90">
      <w:pPr>
        <w:rPr>
          <w:rFonts w:ascii="Times New Roman" w:hAnsi="Times New Roman" w:cs="Times New Roman"/>
        </w:rPr>
      </w:pPr>
      <w:r w:rsidRPr="00FC3E90">
        <w:rPr>
          <w:rFonts w:ascii="Times New Roman" w:hAnsi="Times New Roman" w:cs="Times New Roman"/>
        </w:rPr>
        <w:t>University of Health and Allied Sciences, Ghana</w:t>
      </w:r>
    </w:p>
    <w:p w:rsidR="00FC3E90" w:rsidRPr="00FC3E90" w:rsidRDefault="00FC3E90" w:rsidP="00FC3E90">
      <w:pPr>
        <w:jc w:val="center"/>
        <w:rPr>
          <w:rFonts w:ascii="Times New Roman" w:hAnsi="Times New Roman" w:cs="Times New Roman"/>
          <w:b/>
          <w:sz w:val="24"/>
        </w:rPr>
      </w:pPr>
      <w:r w:rsidRPr="00FC3E90">
        <w:rPr>
          <w:rFonts w:ascii="Times New Roman" w:hAnsi="Times New Roman" w:cs="Times New Roman"/>
          <w:b/>
          <w:sz w:val="24"/>
        </w:rPr>
        <w:t>Abstract</w:t>
      </w:r>
    </w:p>
    <w:p w:rsidR="00FC3E90" w:rsidRDefault="00FC3E90" w:rsidP="00FC3E90">
      <w:pPr>
        <w:jc w:val="both"/>
        <w:rPr>
          <w:rFonts w:ascii="Times New Roman" w:hAnsi="Times New Roman" w:cs="Times New Roman"/>
          <w:sz w:val="20"/>
        </w:rPr>
      </w:pPr>
      <w:r w:rsidRPr="009E71EC">
        <w:rPr>
          <w:rFonts w:ascii="Times New Roman" w:hAnsi="Times New Roman" w:cs="Times New Roman"/>
          <w:b/>
          <w:sz w:val="20"/>
        </w:rPr>
        <w:t xml:space="preserve">Statement of the </w:t>
      </w:r>
      <w:r w:rsidR="009E71EC" w:rsidRPr="009E71EC">
        <w:rPr>
          <w:rFonts w:ascii="Times New Roman" w:hAnsi="Times New Roman" w:cs="Times New Roman"/>
          <w:b/>
          <w:sz w:val="20"/>
        </w:rPr>
        <w:t>problem</w:t>
      </w:r>
      <w:r w:rsidRPr="009E71EC">
        <w:rPr>
          <w:rFonts w:ascii="Times New Roman" w:hAnsi="Times New Roman" w:cs="Times New Roman"/>
          <w:b/>
          <w:sz w:val="20"/>
        </w:rPr>
        <w:t>:</w:t>
      </w:r>
      <w:r w:rsidRPr="00FC3E90">
        <w:rPr>
          <w:rFonts w:ascii="Times New Roman" w:hAnsi="Times New Roman" w:cs="Times New Roman"/>
          <w:sz w:val="20"/>
        </w:rPr>
        <w:t xml:space="preserve"> Despite the </w:t>
      </w:r>
      <w:proofErr w:type="spellStart"/>
      <w:r w:rsidRPr="00FC3E90">
        <w:rPr>
          <w:rFonts w:ascii="Times New Roman" w:hAnsi="Times New Roman" w:cs="Times New Roman"/>
          <w:sz w:val="20"/>
        </w:rPr>
        <w:t>rigour</w:t>
      </w:r>
      <w:proofErr w:type="spellEnd"/>
      <w:r w:rsidRPr="00FC3E90">
        <w:rPr>
          <w:rFonts w:ascii="Times New Roman" w:hAnsi="Times New Roman" w:cs="Times New Roman"/>
          <w:sz w:val="20"/>
        </w:rPr>
        <w:t xml:space="preserve"> of pre-marketing vaccine trials, the safety of new vaccines is not completely understood from pre-authorization clinical trial data as these trials are conducted in controlled settings different from settings of real-world use. Consequently, such data have limitations in their post-market applicability. It is therefore imperative to report </w:t>
      </w:r>
      <w:r w:rsidR="009E71EC" w:rsidRPr="00FC3E90">
        <w:rPr>
          <w:rFonts w:ascii="Times New Roman" w:hAnsi="Times New Roman" w:cs="Times New Roman"/>
          <w:sz w:val="20"/>
        </w:rPr>
        <w:t>Adverse Events Following Immunization</w:t>
      </w:r>
      <w:r w:rsidRPr="00FC3E90">
        <w:rPr>
          <w:rFonts w:ascii="Times New Roman" w:hAnsi="Times New Roman" w:cs="Times New Roman"/>
          <w:sz w:val="20"/>
        </w:rPr>
        <w:t xml:space="preserve"> (AEFI) after regulatory approval of vaccines for a better understanding of their safety profiles. This study assessed AEFIs reported on COVID-19 vaccines and determined AEFI reporting trends across all continents of the world in the World Health Organization (WHO) open access pharmacovigilance database, </w:t>
      </w:r>
      <w:proofErr w:type="spellStart"/>
      <w:r w:rsidRPr="00FC3E90">
        <w:rPr>
          <w:rFonts w:ascii="Times New Roman" w:hAnsi="Times New Roman" w:cs="Times New Roman"/>
          <w:sz w:val="20"/>
        </w:rPr>
        <w:t>VigiAccess</w:t>
      </w:r>
      <w:proofErr w:type="spellEnd"/>
      <w:r w:rsidRPr="00FC3E90">
        <w:rPr>
          <w:rFonts w:ascii="Times New Roman" w:hAnsi="Times New Roman" w:cs="Times New Roman"/>
          <w:sz w:val="20"/>
        </w:rPr>
        <w:t xml:space="preserve">. </w:t>
      </w:r>
    </w:p>
    <w:p w:rsidR="00FC3E90" w:rsidRDefault="00FC3E90" w:rsidP="00FC3E90">
      <w:pPr>
        <w:jc w:val="both"/>
        <w:rPr>
          <w:rFonts w:ascii="Times New Roman" w:hAnsi="Times New Roman" w:cs="Times New Roman"/>
          <w:sz w:val="20"/>
        </w:rPr>
      </w:pPr>
      <w:r w:rsidRPr="009E71EC">
        <w:rPr>
          <w:rFonts w:ascii="Times New Roman" w:hAnsi="Times New Roman" w:cs="Times New Roman"/>
          <w:b/>
          <w:sz w:val="20"/>
        </w:rPr>
        <w:t xml:space="preserve">Methodology &amp; </w:t>
      </w:r>
      <w:r w:rsidR="009E71EC" w:rsidRPr="009E71EC">
        <w:rPr>
          <w:rFonts w:ascii="Times New Roman" w:hAnsi="Times New Roman" w:cs="Times New Roman"/>
          <w:b/>
          <w:sz w:val="20"/>
        </w:rPr>
        <w:t>theoretical orientation</w:t>
      </w:r>
      <w:r w:rsidRPr="009E71EC">
        <w:rPr>
          <w:rFonts w:ascii="Times New Roman" w:hAnsi="Times New Roman" w:cs="Times New Roman"/>
          <w:b/>
          <w:sz w:val="20"/>
        </w:rPr>
        <w:t>:</w:t>
      </w:r>
      <w:r w:rsidRPr="00FC3E90">
        <w:rPr>
          <w:rFonts w:ascii="Times New Roman" w:hAnsi="Times New Roman" w:cs="Times New Roman"/>
          <w:sz w:val="20"/>
        </w:rPr>
        <w:t xml:space="preserve"> The study was cross-sectional quantitative in design. </w:t>
      </w:r>
      <w:proofErr w:type="spellStart"/>
      <w:r w:rsidRPr="00FC3E90">
        <w:rPr>
          <w:rFonts w:ascii="Times New Roman" w:hAnsi="Times New Roman" w:cs="Times New Roman"/>
          <w:sz w:val="20"/>
        </w:rPr>
        <w:t>VigiAccess</w:t>
      </w:r>
      <w:proofErr w:type="spellEnd"/>
      <w:r w:rsidRPr="00FC3E90">
        <w:rPr>
          <w:rFonts w:ascii="Times New Roman" w:hAnsi="Times New Roman" w:cs="Times New Roman"/>
          <w:sz w:val="20"/>
        </w:rPr>
        <w:t xml:space="preserve"> was searched on November 10, 2021 for reported adverse events following the introduction of COVID-19 vaccines. After entering the search term, “COVID-19 vaccines” in </w:t>
      </w:r>
      <w:proofErr w:type="spellStart"/>
      <w:r w:rsidRPr="00FC3E90">
        <w:rPr>
          <w:rFonts w:ascii="Times New Roman" w:hAnsi="Times New Roman" w:cs="Times New Roman"/>
          <w:sz w:val="20"/>
        </w:rPr>
        <w:t>VigiAccess</w:t>
      </w:r>
      <w:proofErr w:type="spellEnd"/>
      <w:r w:rsidRPr="00FC3E90">
        <w:rPr>
          <w:rFonts w:ascii="Times New Roman" w:hAnsi="Times New Roman" w:cs="Times New Roman"/>
          <w:sz w:val="20"/>
        </w:rPr>
        <w:t xml:space="preserve">, AEFIs associated with 9 approved brands of COVID-19 vaccines had been documented in the database. Data were captured among age groups, sex and continents of the world and </w:t>
      </w:r>
      <w:proofErr w:type="spellStart"/>
      <w:r w:rsidRPr="00FC3E90">
        <w:rPr>
          <w:rFonts w:ascii="Times New Roman" w:hAnsi="Times New Roman" w:cs="Times New Roman"/>
          <w:sz w:val="20"/>
        </w:rPr>
        <w:t>analysed</w:t>
      </w:r>
      <w:proofErr w:type="spellEnd"/>
      <w:r w:rsidRPr="00FC3E90">
        <w:rPr>
          <w:rFonts w:ascii="Times New Roman" w:hAnsi="Times New Roman" w:cs="Times New Roman"/>
          <w:sz w:val="20"/>
        </w:rPr>
        <w:t xml:space="preserve"> using Statistical Package for Social Sciences (SPSS) version 25. </w:t>
      </w:r>
    </w:p>
    <w:p w:rsidR="00FC3E90" w:rsidRDefault="00FC3E90" w:rsidP="00FC3E90">
      <w:pPr>
        <w:jc w:val="both"/>
        <w:rPr>
          <w:rFonts w:ascii="Times New Roman" w:hAnsi="Times New Roman" w:cs="Times New Roman"/>
          <w:sz w:val="20"/>
        </w:rPr>
      </w:pPr>
      <w:r w:rsidRPr="009E71EC">
        <w:rPr>
          <w:rFonts w:ascii="Times New Roman" w:hAnsi="Times New Roman" w:cs="Times New Roman"/>
          <w:b/>
          <w:sz w:val="20"/>
        </w:rPr>
        <w:t>Findings:</w:t>
      </w:r>
      <w:r w:rsidRPr="00FC3E90">
        <w:rPr>
          <w:rFonts w:ascii="Times New Roman" w:hAnsi="Times New Roman" w:cs="Times New Roman"/>
          <w:sz w:val="20"/>
        </w:rPr>
        <w:t xml:space="preserve"> Overall, 2,457,386 AEFIs had been reported in </w:t>
      </w:r>
      <w:proofErr w:type="spellStart"/>
      <w:r w:rsidRPr="00FC3E90">
        <w:rPr>
          <w:rFonts w:ascii="Times New Roman" w:hAnsi="Times New Roman" w:cs="Times New Roman"/>
          <w:sz w:val="20"/>
        </w:rPr>
        <w:t>VigiAccess</w:t>
      </w:r>
      <w:proofErr w:type="spellEnd"/>
      <w:r w:rsidRPr="00FC3E90">
        <w:rPr>
          <w:rFonts w:ascii="Times New Roman" w:hAnsi="Times New Roman" w:cs="Times New Roman"/>
          <w:sz w:val="20"/>
        </w:rPr>
        <w:t xml:space="preserve"> at the time of the search. The top 10 commonly reported AEFI types with their percentage of the total number of AEFIs were as follows: general disorders and vaccine administrative site conditions (1,481,549, 60.1%), nervous system disorders (1,046,928, 42.6%), musculoskeletal and connective tissue disorders (704,657, 28.6%), gastrointestinal disorders (495,997, 20.2%), investigations with undesirable outcomes (341,677, 13.9%), skin and subcutaneous tissue disorders (335,932, 13.6%), respiratory, thoracic and </w:t>
      </w:r>
      <w:proofErr w:type="spellStart"/>
      <w:r w:rsidRPr="00FC3E90">
        <w:rPr>
          <w:rFonts w:ascii="Times New Roman" w:hAnsi="Times New Roman" w:cs="Times New Roman"/>
          <w:sz w:val="20"/>
        </w:rPr>
        <w:t>mediastinal</w:t>
      </w:r>
      <w:proofErr w:type="spellEnd"/>
      <w:r w:rsidRPr="00FC3E90">
        <w:rPr>
          <w:rFonts w:ascii="Times New Roman" w:hAnsi="Times New Roman" w:cs="Times New Roman"/>
          <w:sz w:val="20"/>
        </w:rPr>
        <w:t xml:space="preserve"> disorders (262,158, 10.6%), infections and infestations (180,873, 7.3%), vascular disorders (132,533, 5.3%) and injury, poisoning and procedural complications (122,519, 5%). No causal associations could be established between the vaccines and the AEFIs. It is recommended that the public accessing </w:t>
      </w:r>
      <w:proofErr w:type="spellStart"/>
      <w:r w:rsidRPr="00FC3E90">
        <w:rPr>
          <w:rFonts w:ascii="Times New Roman" w:hAnsi="Times New Roman" w:cs="Times New Roman"/>
          <w:sz w:val="20"/>
        </w:rPr>
        <w:t>VigiAccess</w:t>
      </w:r>
      <w:proofErr w:type="spellEnd"/>
      <w:r w:rsidRPr="00FC3E90">
        <w:rPr>
          <w:rFonts w:ascii="Times New Roman" w:hAnsi="Times New Roman" w:cs="Times New Roman"/>
          <w:sz w:val="20"/>
        </w:rPr>
        <w:t xml:space="preserve"> data should be made aware of the fact that it is impossible to do causality assessment with data in </w:t>
      </w:r>
      <w:proofErr w:type="spellStart"/>
      <w:r w:rsidRPr="00FC3E90">
        <w:rPr>
          <w:rFonts w:ascii="Times New Roman" w:hAnsi="Times New Roman" w:cs="Times New Roman"/>
          <w:sz w:val="20"/>
        </w:rPr>
        <w:t>VigiAccess</w:t>
      </w:r>
      <w:proofErr w:type="spellEnd"/>
      <w:r w:rsidRPr="00FC3E90">
        <w:rPr>
          <w:rFonts w:ascii="Times New Roman" w:hAnsi="Times New Roman" w:cs="Times New Roman"/>
          <w:sz w:val="20"/>
        </w:rPr>
        <w:t xml:space="preserve"> in order not to falsely attribute AEFIs to COVID-19 vaccines when assessing the database.</w:t>
      </w:r>
    </w:p>
    <w:p w:rsidR="00FC3E90" w:rsidRPr="00FC3E90" w:rsidRDefault="00FC3E90" w:rsidP="00FC3E90">
      <w:pPr>
        <w:rPr>
          <w:rFonts w:ascii="Times New Roman" w:hAnsi="Times New Roman" w:cs="Times New Roman"/>
          <w:b/>
          <w:sz w:val="24"/>
        </w:rPr>
      </w:pPr>
      <w:r w:rsidRPr="00FC3E90">
        <w:rPr>
          <w:rFonts w:ascii="Times New Roman" w:hAnsi="Times New Roman" w:cs="Times New Roman"/>
          <w:b/>
          <w:sz w:val="24"/>
        </w:rPr>
        <w:t>Biography</w:t>
      </w:r>
    </w:p>
    <w:p w:rsidR="00FC3E90" w:rsidRPr="00FC3E90" w:rsidRDefault="00FC3E90" w:rsidP="00FC3E90">
      <w:pPr>
        <w:jc w:val="both"/>
        <w:rPr>
          <w:rFonts w:ascii="Times New Roman" w:hAnsi="Times New Roman" w:cs="Times New Roman"/>
          <w:sz w:val="20"/>
        </w:rPr>
      </w:pPr>
      <w:r w:rsidRPr="00FC3E90">
        <w:rPr>
          <w:rFonts w:ascii="Times New Roman" w:hAnsi="Times New Roman" w:cs="Times New Roman"/>
          <w:sz w:val="20"/>
        </w:rPr>
        <w:t xml:space="preserve">Peter </w:t>
      </w:r>
      <w:proofErr w:type="spellStart"/>
      <w:r w:rsidRPr="00FC3E90">
        <w:rPr>
          <w:rFonts w:ascii="Times New Roman" w:hAnsi="Times New Roman" w:cs="Times New Roman"/>
          <w:sz w:val="20"/>
        </w:rPr>
        <w:t>Yamoah</w:t>
      </w:r>
      <w:proofErr w:type="spellEnd"/>
      <w:r w:rsidRPr="00FC3E90">
        <w:rPr>
          <w:rFonts w:ascii="Times New Roman" w:hAnsi="Times New Roman" w:cs="Times New Roman"/>
          <w:sz w:val="20"/>
        </w:rPr>
        <w:t xml:space="preserve"> has his expertise in improving patient safety regarding their use of pharmaceuticals, medical devices and biotechnology products particularly vaccines. He has over 17 years work experience in hospital, regulatory, community </w:t>
      </w:r>
      <w:bookmarkStart w:id="0" w:name="_GoBack"/>
      <w:bookmarkEnd w:id="0"/>
      <w:r w:rsidRPr="00FC3E90">
        <w:rPr>
          <w:rFonts w:ascii="Times New Roman" w:hAnsi="Times New Roman" w:cs="Times New Roman"/>
          <w:sz w:val="20"/>
        </w:rPr>
        <w:t>and academic practice settings as a pharmacist.</w:t>
      </w:r>
      <w:r w:rsidR="001C2BA1">
        <w:rPr>
          <w:rFonts w:ascii="Times New Roman" w:hAnsi="Times New Roman" w:cs="Times New Roman"/>
          <w:sz w:val="20"/>
        </w:rPr>
        <w:t xml:space="preserve"> </w:t>
      </w:r>
      <w:r w:rsidRPr="00FC3E90">
        <w:rPr>
          <w:rFonts w:ascii="Times New Roman" w:hAnsi="Times New Roman" w:cs="Times New Roman"/>
          <w:sz w:val="20"/>
        </w:rPr>
        <w:t xml:space="preserve">He received his bachelor’s degree in Pharmacy from Kwame Nkrumah University of Science and Technology, Ghana, Master’s degree in Clinical Research at University of Liverpool, United Kingdom and doctoral degree in Pharmacovigilance at University of </w:t>
      </w:r>
      <w:proofErr w:type="spellStart"/>
      <w:r w:rsidRPr="00FC3E90">
        <w:rPr>
          <w:rFonts w:ascii="Times New Roman" w:hAnsi="Times New Roman" w:cs="Times New Roman"/>
          <w:sz w:val="20"/>
        </w:rPr>
        <w:t>KwaZulu</w:t>
      </w:r>
      <w:proofErr w:type="spellEnd"/>
      <w:r w:rsidRPr="00FC3E90">
        <w:rPr>
          <w:rFonts w:ascii="Times New Roman" w:hAnsi="Times New Roman" w:cs="Times New Roman"/>
          <w:sz w:val="20"/>
        </w:rPr>
        <w:t xml:space="preserve"> Natal in South Africa and has been involved in Clinical Trials, hospital pharmacy practice, regulatory pharmacy practice as well as academic pharmacy practice. He has served as a pharmacovigilance consultant for Pfizer pharmaceuticals since 2018 and a lead scientist at the West African Regional Centre of Regulatory Excellence (RCORE) established by the World Health Organization (WHO) in Ghana since June 2022.</w:t>
      </w:r>
    </w:p>
    <w:sectPr w:rsidR="00FC3E90" w:rsidRPr="00FC3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BF7"/>
    <w:rsid w:val="0000072E"/>
    <w:rsid w:val="001C2BA1"/>
    <w:rsid w:val="00474203"/>
    <w:rsid w:val="00535872"/>
    <w:rsid w:val="00924B33"/>
    <w:rsid w:val="009A0B98"/>
    <w:rsid w:val="009E71EC"/>
    <w:rsid w:val="00BC0BF7"/>
    <w:rsid w:val="00FC3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2022-08-02T04:10:00Z</dcterms:created>
  <dcterms:modified xsi:type="dcterms:W3CDTF">2022-08-02T04:31:00Z</dcterms:modified>
</cp:coreProperties>
</file>