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8126D" w14:textId="486E50BA" w:rsidR="00AD5552" w:rsidRPr="004F37A9" w:rsidRDefault="00AD5552" w:rsidP="004F37A9">
      <w:pPr>
        <w:spacing w:after="200" w:line="276" w:lineRule="auto"/>
        <w:rPr>
          <w:rFonts w:ascii="Times New Roman" w:hAnsi="Times New Roman" w:cs="Times New Roman"/>
          <w:b/>
          <w:sz w:val="32"/>
        </w:rPr>
      </w:pPr>
      <w:r w:rsidRPr="004F37A9">
        <w:rPr>
          <w:rFonts w:ascii="Times New Roman" w:hAnsi="Times New Roman" w:cs="Times New Roman"/>
          <w:b/>
          <w:sz w:val="32"/>
        </w:rPr>
        <w:t>Bilateral anterior uveitis due to latent reactivation of varicella zoster virus</w:t>
      </w:r>
    </w:p>
    <w:p w14:paraId="7CD6BEB6" w14:textId="77777777" w:rsidR="004F37A9" w:rsidRDefault="00AD5552" w:rsidP="004F37A9">
      <w:pPr>
        <w:spacing w:after="200" w:line="276" w:lineRule="auto"/>
        <w:rPr>
          <w:rFonts w:ascii="Times New Roman" w:hAnsi="Times New Roman" w:cs="Times New Roman"/>
          <w:sz w:val="24"/>
        </w:rPr>
      </w:pPr>
      <w:r w:rsidRPr="004F37A9">
        <w:rPr>
          <w:rFonts w:ascii="Times New Roman" w:hAnsi="Times New Roman" w:cs="Times New Roman"/>
          <w:sz w:val="24"/>
        </w:rPr>
        <w:t xml:space="preserve">Maryam I. AL </w:t>
      </w:r>
      <w:proofErr w:type="spellStart"/>
      <w:r w:rsidRPr="004F37A9">
        <w:rPr>
          <w:rFonts w:ascii="Times New Roman" w:hAnsi="Times New Roman" w:cs="Times New Roman"/>
          <w:sz w:val="24"/>
        </w:rPr>
        <w:t>Najjar</w:t>
      </w:r>
      <w:proofErr w:type="spellEnd"/>
    </w:p>
    <w:p w14:paraId="78B13A8D" w14:textId="233D4CA3" w:rsidR="00AD5552" w:rsidRPr="004F37A9" w:rsidRDefault="00AD5552" w:rsidP="004F37A9">
      <w:pPr>
        <w:spacing w:after="200" w:line="276" w:lineRule="auto"/>
        <w:rPr>
          <w:rFonts w:ascii="Times New Roman" w:hAnsi="Times New Roman" w:cs="Times New Roman"/>
        </w:rPr>
      </w:pPr>
      <w:r w:rsidRPr="004F37A9">
        <w:rPr>
          <w:rFonts w:ascii="Times New Roman" w:hAnsi="Times New Roman" w:cs="Times New Roman"/>
        </w:rPr>
        <w:t>McGill University, Jordan</w:t>
      </w:r>
    </w:p>
    <w:p w14:paraId="67D49196" w14:textId="212BEBF9" w:rsidR="00AD5552" w:rsidRPr="004F37A9" w:rsidRDefault="004F37A9" w:rsidP="004F37A9">
      <w:pPr>
        <w:spacing w:after="200" w:line="276" w:lineRule="auto"/>
        <w:jc w:val="center"/>
        <w:rPr>
          <w:rFonts w:ascii="Times New Roman" w:hAnsi="Times New Roman" w:cs="Times New Roman"/>
          <w:b/>
          <w:sz w:val="24"/>
        </w:rPr>
      </w:pPr>
      <w:r w:rsidRPr="004F37A9">
        <w:rPr>
          <w:rFonts w:ascii="Times New Roman" w:hAnsi="Times New Roman" w:cs="Times New Roman"/>
          <w:b/>
          <w:sz w:val="24"/>
        </w:rPr>
        <w:t>Abstract</w:t>
      </w:r>
    </w:p>
    <w:p w14:paraId="3D3F1EC9" w14:textId="16CF2107" w:rsidR="00A4774B" w:rsidRPr="004F37A9" w:rsidRDefault="00A4774B" w:rsidP="004F37A9">
      <w:pPr>
        <w:spacing w:after="200" w:line="276" w:lineRule="auto"/>
        <w:jc w:val="both"/>
        <w:rPr>
          <w:rFonts w:ascii="Times New Roman" w:hAnsi="Times New Roman" w:cs="Times New Roman"/>
          <w:sz w:val="20"/>
        </w:rPr>
      </w:pPr>
      <w:r w:rsidRPr="004F37A9">
        <w:rPr>
          <w:rFonts w:ascii="Times New Roman" w:hAnsi="Times New Roman" w:cs="Times New Roman"/>
          <w:b/>
          <w:sz w:val="20"/>
        </w:rPr>
        <w:t>Introduction:</w:t>
      </w:r>
      <w:r w:rsidRPr="004F37A9">
        <w:rPr>
          <w:rFonts w:ascii="Times New Roman" w:hAnsi="Times New Roman" w:cs="Times New Roman"/>
          <w:sz w:val="20"/>
        </w:rPr>
        <w:t xml:space="preserve"> </w:t>
      </w:r>
      <w:r w:rsidR="004F37A9" w:rsidRPr="004F37A9">
        <w:rPr>
          <w:rFonts w:ascii="Times New Roman" w:hAnsi="Times New Roman" w:cs="Times New Roman"/>
          <w:sz w:val="20"/>
        </w:rPr>
        <w:t xml:space="preserve">Latent </w:t>
      </w:r>
      <w:r w:rsidRPr="004F37A9">
        <w:rPr>
          <w:rFonts w:ascii="Times New Roman" w:hAnsi="Times New Roman" w:cs="Times New Roman"/>
          <w:sz w:val="20"/>
        </w:rPr>
        <w:t xml:space="preserve">reactivation of </w:t>
      </w:r>
      <w:r w:rsidR="004F37A9" w:rsidRPr="004F37A9">
        <w:rPr>
          <w:rFonts w:ascii="Times New Roman" w:hAnsi="Times New Roman" w:cs="Times New Roman"/>
          <w:sz w:val="20"/>
        </w:rPr>
        <w:t>Varicella Zoster Virus</w:t>
      </w:r>
      <w:r w:rsidRPr="004F37A9">
        <w:rPr>
          <w:rFonts w:ascii="Times New Roman" w:hAnsi="Times New Roman" w:cs="Times New Roman"/>
          <w:sz w:val="20"/>
        </w:rPr>
        <w:t xml:space="preserve"> (VZV) infection is one of the causes of anterior uveitis. The patient is usually presented with unilateral </w:t>
      </w:r>
      <w:proofErr w:type="spellStart"/>
      <w:r w:rsidRPr="004F37A9">
        <w:rPr>
          <w:rFonts w:ascii="Times New Roman" w:hAnsi="Times New Roman" w:cs="Times New Roman"/>
          <w:sz w:val="20"/>
        </w:rPr>
        <w:t>iridocyclitis</w:t>
      </w:r>
      <w:proofErr w:type="spellEnd"/>
      <w:r w:rsidRPr="004F37A9">
        <w:rPr>
          <w:rFonts w:ascii="Times New Roman" w:hAnsi="Times New Roman" w:cs="Times New Roman"/>
          <w:sz w:val="20"/>
        </w:rPr>
        <w:t xml:space="preserve"> with elevation of intraocular pressure, and later sequences of sectorial iris atrophy after recurrent attacks. </w:t>
      </w:r>
    </w:p>
    <w:p w14:paraId="41BFB8EC" w14:textId="442F5352" w:rsidR="00A4774B" w:rsidRPr="004F37A9" w:rsidRDefault="00A4774B" w:rsidP="004F37A9">
      <w:pPr>
        <w:spacing w:after="200" w:line="276" w:lineRule="auto"/>
        <w:jc w:val="both"/>
        <w:rPr>
          <w:rFonts w:ascii="Times New Roman" w:hAnsi="Times New Roman" w:cs="Times New Roman"/>
          <w:sz w:val="20"/>
        </w:rPr>
      </w:pPr>
      <w:r w:rsidRPr="004F37A9">
        <w:rPr>
          <w:rFonts w:ascii="Times New Roman" w:hAnsi="Times New Roman" w:cs="Times New Roman"/>
          <w:b/>
          <w:sz w:val="20"/>
        </w:rPr>
        <w:t>Case presentation:</w:t>
      </w:r>
      <w:r w:rsidRPr="004F37A9">
        <w:rPr>
          <w:rFonts w:ascii="Times New Roman" w:hAnsi="Times New Roman" w:cs="Times New Roman"/>
          <w:sz w:val="20"/>
        </w:rPr>
        <w:t xml:space="preserve"> We are reporting a case of unusual presentation of bilateral anterior uveitis due to latent reactivation of VZV in an </w:t>
      </w:r>
      <w:proofErr w:type="spellStart"/>
      <w:r w:rsidRPr="004F37A9">
        <w:rPr>
          <w:rFonts w:ascii="Times New Roman" w:hAnsi="Times New Roman" w:cs="Times New Roman"/>
          <w:sz w:val="20"/>
        </w:rPr>
        <w:t>immunocompetent</w:t>
      </w:r>
      <w:proofErr w:type="spellEnd"/>
      <w:r w:rsidRPr="004F37A9">
        <w:rPr>
          <w:rFonts w:ascii="Times New Roman" w:hAnsi="Times New Roman" w:cs="Times New Roman"/>
          <w:sz w:val="20"/>
        </w:rPr>
        <w:t xml:space="preserve"> patient. A 44-year-old man was referred to our hospital, with a history of three weeks of bilateral eye pain, redness and photophobia. The patient had been treated in </w:t>
      </w:r>
      <w:r w:rsidR="00AD5552" w:rsidRPr="004F37A9">
        <w:rPr>
          <w:rFonts w:ascii="Times New Roman" w:hAnsi="Times New Roman" w:cs="Times New Roman"/>
          <w:sz w:val="20"/>
        </w:rPr>
        <w:t>another clinic</w:t>
      </w:r>
      <w:r w:rsidRPr="004F37A9">
        <w:rPr>
          <w:rFonts w:ascii="Times New Roman" w:hAnsi="Times New Roman" w:cs="Times New Roman"/>
          <w:sz w:val="20"/>
        </w:rPr>
        <w:t xml:space="preserve"> by topical steroid eye drops without improvement.</w:t>
      </w:r>
    </w:p>
    <w:p w14:paraId="4411024B" w14:textId="5FC6F4CC" w:rsidR="00FC07B8" w:rsidRPr="004F37A9" w:rsidRDefault="00FC07B8" w:rsidP="004F37A9">
      <w:pPr>
        <w:spacing w:after="200" w:line="276" w:lineRule="auto"/>
        <w:jc w:val="both"/>
        <w:rPr>
          <w:rFonts w:ascii="Times New Roman" w:hAnsi="Times New Roman" w:cs="Times New Roman"/>
          <w:sz w:val="20"/>
        </w:rPr>
      </w:pPr>
      <w:r w:rsidRPr="004F37A9">
        <w:rPr>
          <w:rFonts w:ascii="Times New Roman" w:hAnsi="Times New Roman" w:cs="Times New Roman"/>
          <w:sz w:val="20"/>
        </w:rPr>
        <w:t xml:space="preserve">On examination, the best corrected visual acuity was 20/60 in each eye. Anterior segment examination: marked </w:t>
      </w:r>
      <w:proofErr w:type="spellStart"/>
      <w:r w:rsidRPr="004F37A9">
        <w:rPr>
          <w:rFonts w:ascii="Times New Roman" w:hAnsi="Times New Roman" w:cs="Times New Roman"/>
          <w:sz w:val="20"/>
        </w:rPr>
        <w:t>ciliary</w:t>
      </w:r>
      <w:proofErr w:type="spellEnd"/>
      <w:r w:rsidRPr="004F37A9">
        <w:rPr>
          <w:rFonts w:ascii="Times New Roman" w:hAnsi="Times New Roman" w:cs="Times New Roman"/>
          <w:sz w:val="20"/>
        </w:rPr>
        <w:t xml:space="preserve"> injection, corneal epithelial edema, </w:t>
      </w:r>
      <w:proofErr w:type="gramStart"/>
      <w:r w:rsidRPr="004F37A9">
        <w:rPr>
          <w:rFonts w:ascii="Times New Roman" w:hAnsi="Times New Roman" w:cs="Times New Roman"/>
          <w:sz w:val="20"/>
        </w:rPr>
        <w:t>fine</w:t>
      </w:r>
      <w:proofErr w:type="gramEnd"/>
      <w:r w:rsidRPr="004F37A9">
        <w:rPr>
          <w:rFonts w:ascii="Times New Roman" w:hAnsi="Times New Roman" w:cs="Times New Roman"/>
          <w:sz w:val="20"/>
        </w:rPr>
        <w:t xml:space="preserve"> </w:t>
      </w:r>
      <w:proofErr w:type="spellStart"/>
      <w:r w:rsidRPr="004F37A9">
        <w:rPr>
          <w:rFonts w:ascii="Times New Roman" w:hAnsi="Times New Roman" w:cs="Times New Roman"/>
          <w:sz w:val="20"/>
        </w:rPr>
        <w:t>keratic</w:t>
      </w:r>
      <w:proofErr w:type="spellEnd"/>
      <w:r w:rsidRPr="004F37A9">
        <w:rPr>
          <w:rFonts w:ascii="Times New Roman" w:hAnsi="Times New Roman" w:cs="Times New Roman"/>
          <w:sz w:val="20"/>
        </w:rPr>
        <w:t xml:space="preserve"> precipitates, flare +2, and anterior chamber reaction was +3 cells in each eye and intraocular pressure was 19 mmHg in each eye.</w:t>
      </w:r>
      <w:r w:rsidR="00390D78" w:rsidRPr="004F37A9">
        <w:rPr>
          <w:rFonts w:ascii="Times New Roman" w:hAnsi="Times New Roman" w:cs="Times New Roman"/>
          <w:sz w:val="20"/>
        </w:rPr>
        <w:t xml:space="preserve"> Fundus examination was within normal</w:t>
      </w:r>
    </w:p>
    <w:p w14:paraId="7FFBBE62" w14:textId="43C3CA42" w:rsidR="00A43A31" w:rsidRPr="004F37A9" w:rsidRDefault="00A43A31" w:rsidP="004F37A9">
      <w:pPr>
        <w:spacing w:after="200" w:line="276" w:lineRule="auto"/>
        <w:jc w:val="both"/>
        <w:rPr>
          <w:rFonts w:ascii="Times New Roman" w:hAnsi="Times New Roman" w:cs="Times New Roman"/>
          <w:sz w:val="20"/>
        </w:rPr>
      </w:pPr>
      <w:r w:rsidRPr="004F37A9">
        <w:rPr>
          <w:rFonts w:ascii="Times New Roman" w:hAnsi="Times New Roman" w:cs="Times New Roman"/>
          <w:sz w:val="20"/>
        </w:rPr>
        <w:t>The patient underwent full review of systems and complete work up to exclude infectious and autoimmune diseases. After three days, the blood tests revealed a</w:t>
      </w:r>
      <w:r w:rsidR="004F37A9">
        <w:rPr>
          <w:rFonts w:ascii="Times New Roman" w:hAnsi="Times New Roman" w:cs="Times New Roman"/>
          <w:sz w:val="20"/>
        </w:rPr>
        <w:t xml:space="preserve"> </w:t>
      </w:r>
      <w:r w:rsidRPr="004F37A9">
        <w:rPr>
          <w:rFonts w:ascii="Times New Roman" w:hAnsi="Times New Roman" w:cs="Times New Roman"/>
          <w:sz w:val="20"/>
        </w:rPr>
        <w:t xml:space="preserve">high titer of VZV, more than 2000 </w:t>
      </w:r>
      <w:proofErr w:type="spellStart"/>
      <w:r w:rsidRPr="004F37A9">
        <w:rPr>
          <w:rFonts w:ascii="Times New Roman" w:hAnsi="Times New Roman" w:cs="Times New Roman"/>
          <w:sz w:val="20"/>
        </w:rPr>
        <w:t>mIU</w:t>
      </w:r>
      <w:proofErr w:type="spellEnd"/>
      <w:r w:rsidRPr="004F37A9">
        <w:rPr>
          <w:rFonts w:ascii="Times New Roman" w:hAnsi="Times New Roman" w:cs="Times New Roman"/>
          <w:sz w:val="20"/>
        </w:rPr>
        <w:t>/ml. The other blood test</w:t>
      </w:r>
      <w:r w:rsidR="00E25602" w:rsidRPr="004F37A9">
        <w:rPr>
          <w:rFonts w:ascii="Times New Roman" w:hAnsi="Times New Roman" w:cs="Times New Roman"/>
          <w:sz w:val="20"/>
        </w:rPr>
        <w:t>s</w:t>
      </w:r>
      <w:r w:rsidRPr="004F37A9">
        <w:rPr>
          <w:rFonts w:ascii="Times New Roman" w:hAnsi="Times New Roman" w:cs="Times New Roman"/>
          <w:sz w:val="20"/>
        </w:rPr>
        <w:t xml:space="preserve"> </w:t>
      </w:r>
      <w:r w:rsidR="00E25602" w:rsidRPr="004F37A9">
        <w:rPr>
          <w:rFonts w:ascii="Times New Roman" w:hAnsi="Times New Roman" w:cs="Times New Roman"/>
          <w:sz w:val="20"/>
        </w:rPr>
        <w:t>returned</w:t>
      </w:r>
      <w:r w:rsidRPr="004F37A9">
        <w:rPr>
          <w:rFonts w:ascii="Times New Roman" w:hAnsi="Times New Roman" w:cs="Times New Roman"/>
          <w:sz w:val="20"/>
        </w:rPr>
        <w:t xml:space="preserve"> within normal</w:t>
      </w:r>
      <w:r w:rsidR="00E25602" w:rsidRPr="004F37A9">
        <w:rPr>
          <w:rFonts w:ascii="Times New Roman" w:hAnsi="Times New Roman" w:cs="Times New Roman"/>
          <w:sz w:val="20"/>
        </w:rPr>
        <w:t xml:space="preserve"> limits</w:t>
      </w:r>
      <w:r w:rsidRPr="004F37A9">
        <w:rPr>
          <w:rFonts w:ascii="Times New Roman" w:hAnsi="Times New Roman" w:cs="Times New Roman"/>
          <w:sz w:val="20"/>
        </w:rPr>
        <w:t>.</w:t>
      </w:r>
    </w:p>
    <w:p w14:paraId="6C6064C8" w14:textId="2D76F9B8" w:rsidR="00A43A31" w:rsidRPr="004F37A9" w:rsidRDefault="00A43A31" w:rsidP="004F37A9">
      <w:pPr>
        <w:spacing w:after="200" w:line="276" w:lineRule="auto"/>
        <w:jc w:val="both"/>
        <w:rPr>
          <w:rFonts w:ascii="Times New Roman" w:hAnsi="Times New Roman" w:cs="Times New Roman"/>
          <w:sz w:val="20"/>
        </w:rPr>
      </w:pPr>
      <w:r w:rsidRPr="004F37A9">
        <w:rPr>
          <w:rFonts w:ascii="Times New Roman" w:hAnsi="Times New Roman" w:cs="Times New Roman"/>
          <w:b/>
          <w:sz w:val="20"/>
        </w:rPr>
        <w:t>Treatment:</w:t>
      </w:r>
      <w:r w:rsidRPr="004F37A9">
        <w:rPr>
          <w:rFonts w:ascii="Times New Roman" w:hAnsi="Times New Roman" w:cs="Times New Roman"/>
          <w:sz w:val="20"/>
        </w:rPr>
        <w:t xml:space="preserve"> We prescribed the patient oral </w:t>
      </w:r>
      <w:proofErr w:type="spellStart"/>
      <w:r w:rsidRPr="004F37A9">
        <w:rPr>
          <w:rFonts w:ascii="Times New Roman" w:hAnsi="Times New Roman" w:cs="Times New Roman"/>
          <w:sz w:val="20"/>
        </w:rPr>
        <w:t>Valacyclovir</w:t>
      </w:r>
      <w:proofErr w:type="spellEnd"/>
      <w:r w:rsidRPr="004F37A9">
        <w:rPr>
          <w:rFonts w:ascii="Times New Roman" w:hAnsi="Times New Roman" w:cs="Times New Roman"/>
          <w:sz w:val="20"/>
        </w:rPr>
        <w:t xml:space="preserve"> 1 </w:t>
      </w:r>
      <w:proofErr w:type="spellStart"/>
      <w:r w:rsidRPr="004F37A9">
        <w:rPr>
          <w:rFonts w:ascii="Times New Roman" w:hAnsi="Times New Roman" w:cs="Times New Roman"/>
          <w:sz w:val="20"/>
        </w:rPr>
        <w:t>gm</w:t>
      </w:r>
      <w:proofErr w:type="spellEnd"/>
      <w:r w:rsidRPr="004F37A9">
        <w:rPr>
          <w:rFonts w:ascii="Times New Roman" w:hAnsi="Times New Roman" w:cs="Times New Roman"/>
          <w:sz w:val="20"/>
        </w:rPr>
        <w:t xml:space="preserve"> twice daily</w:t>
      </w:r>
      <w:r w:rsidR="00A7076C" w:rsidRPr="004F37A9">
        <w:rPr>
          <w:rFonts w:ascii="Times New Roman" w:hAnsi="Times New Roman" w:cs="Times New Roman"/>
          <w:sz w:val="20"/>
        </w:rPr>
        <w:t xml:space="preserve"> and </w:t>
      </w:r>
      <w:r w:rsidRPr="004F37A9">
        <w:rPr>
          <w:rFonts w:ascii="Times New Roman" w:hAnsi="Times New Roman" w:cs="Times New Roman"/>
          <w:sz w:val="20"/>
        </w:rPr>
        <w:t>besides the oral treatment, we prescribe topical steroid eye drop</w:t>
      </w:r>
      <w:r w:rsidR="00390D78" w:rsidRPr="004F37A9">
        <w:rPr>
          <w:rFonts w:ascii="Times New Roman" w:hAnsi="Times New Roman" w:cs="Times New Roman"/>
          <w:sz w:val="20"/>
        </w:rPr>
        <w:t>s</w:t>
      </w:r>
      <w:r w:rsidRPr="004F37A9">
        <w:rPr>
          <w:rFonts w:ascii="Times New Roman" w:hAnsi="Times New Roman" w:cs="Times New Roman"/>
          <w:sz w:val="20"/>
        </w:rPr>
        <w:t xml:space="preserve">, </w:t>
      </w:r>
      <w:proofErr w:type="spellStart"/>
      <w:r w:rsidRPr="004F37A9">
        <w:rPr>
          <w:rFonts w:ascii="Times New Roman" w:hAnsi="Times New Roman" w:cs="Times New Roman"/>
          <w:sz w:val="20"/>
        </w:rPr>
        <w:t>antiglaucoma</w:t>
      </w:r>
      <w:proofErr w:type="spellEnd"/>
      <w:r w:rsidRPr="004F37A9">
        <w:rPr>
          <w:rFonts w:ascii="Times New Roman" w:hAnsi="Times New Roman" w:cs="Times New Roman"/>
          <w:sz w:val="20"/>
        </w:rPr>
        <w:t xml:space="preserve"> eye drop</w:t>
      </w:r>
      <w:r w:rsidR="00390D78" w:rsidRPr="004F37A9">
        <w:rPr>
          <w:rFonts w:ascii="Times New Roman" w:hAnsi="Times New Roman" w:cs="Times New Roman"/>
          <w:sz w:val="20"/>
        </w:rPr>
        <w:t>s</w:t>
      </w:r>
      <w:r w:rsidRPr="004F37A9">
        <w:rPr>
          <w:rFonts w:ascii="Times New Roman" w:hAnsi="Times New Roman" w:cs="Times New Roman"/>
          <w:sz w:val="20"/>
        </w:rPr>
        <w:t xml:space="preserve"> on </w:t>
      </w:r>
      <w:r w:rsidR="00390D78" w:rsidRPr="004F37A9">
        <w:rPr>
          <w:rFonts w:ascii="Times New Roman" w:hAnsi="Times New Roman" w:cs="Times New Roman"/>
          <w:sz w:val="20"/>
        </w:rPr>
        <w:t xml:space="preserve">the </w:t>
      </w:r>
      <w:r w:rsidRPr="004F37A9">
        <w:rPr>
          <w:rFonts w:ascii="Times New Roman" w:hAnsi="Times New Roman" w:cs="Times New Roman"/>
          <w:sz w:val="20"/>
        </w:rPr>
        <w:t>second visit as the intraocular pressure spiked to 35 mmHg in the right eye and 38 mmHg in the left eye.</w:t>
      </w:r>
    </w:p>
    <w:p w14:paraId="2C1AF75F" w14:textId="77777777" w:rsidR="00A7076C" w:rsidRPr="004F37A9" w:rsidRDefault="00390D78" w:rsidP="004F37A9">
      <w:pPr>
        <w:spacing w:after="200" w:line="276" w:lineRule="auto"/>
        <w:jc w:val="both"/>
        <w:rPr>
          <w:rFonts w:ascii="Times New Roman" w:hAnsi="Times New Roman" w:cs="Times New Roman"/>
          <w:sz w:val="20"/>
        </w:rPr>
      </w:pPr>
      <w:r w:rsidRPr="004F37A9">
        <w:rPr>
          <w:rFonts w:ascii="Times New Roman" w:hAnsi="Times New Roman" w:cs="Times New Roman"/>
          <w:b/>
          <w:sz w:val="20"/>
        </w:rPr>
        <w:t>Follow up:</w:t>
      </w:r>
      <w:r w:rsidRPr="004F37A9">
        <w:rPr>
          <w:rFonts w:ascii="Times New Roman" w:hAnsi="Times New Roman" w:cs="Times New Roman"/>
          <w:sz w:val="20"/>
        </w:rPr>
        <w:t xml:space="preserve"> On examination, the best correct visual acuity after three weeks of oral and topical treatment, the best corrected visual acuity had been improved to 20/20 in each ey</w:t>
      </w:r>
      <w:bookmarkStart w:id="0" w:name="_GoBack"/>
      <w:bookmarkEnd w:id="0"/>
      <w:r w:rsidRPr="004F37A9">
        <w:rPr>
          <w:rFonts w:ascii="Times New Roman" w:hAnsi="Times New Roman" w:cs="Times New Roman"/>
          <w:sz w:val="20"/>
        </w:rPr>
        <w:t>e, anterior segment examination showed clear anterior chamber with fine pigmentation on endothelium, intraocular pressure was within normal limits.</w:t>
      </w:r>
    </w:p>
    <w:p w14:paraId="7499DE3B" w14:textId="2190C8A9" w:rsidR="00390D78" w:rsidRPr="004F37A9" w:rsidRDefault="00390D78" w:rsidP="004F37A9">
      <w:pPr>
        <w:spacing w:after="200" w:line="276" w:lineRule="auto"/>
        <w:jc w:val="both"/>
        <w:rPr>
          <w:rFonts w:ascii="Times New Roman" w:hAnsi="Times New Roman" w:cs="Times New Roman"/>
          <w:sz w:val="20"/>
        </w:rPr>
      </w:pPr>
      <w:r w:rsidRPr="004F37A9">
        <w:rPr>
          <w:rFonts w:ascii="Times New Roman" w:hAnsi="Times New Roman" w:cs="Times New Roman"/>
          <w:sz w:val="20"/>
        </w:rPr>
        <w:t>W</w:t>
      </w:r>
      <w:r w:rsidR="00A7076C" w:rsidRPr="004F37A9">
        <w:rPr>
          <w:rFonts w:ascii="Times New Roman" w:hAnsi="Times New Roman" w:cs="Times New Roman"/>
          <w:sz w:val="20"/>
        </w:rPr>
        <w:t>e</w:t>
      </w:r>
      <w:r w:rsidRPr="004F37A9">
        <w:rPr>
          <w:rFonts w:ascii="Times New Roman" w:hAnsi="Times New Roman" w:cs="Times New Roman"/>
          <w:sz w:val="20"/>
        </w:rPr>
        <w:t xml:space="preserve"> taper the topical treatment and we kept the oral </w:t>
      </w:r>
      <w:proofErr w:type="spellStart"/>
      <w:r w:rsidRPr="004F37A9">
        <w:rPr>
          <w:rFonts w:ascii="Times New Roman" w:hAnsi="Times New Roman" w:cs="Times New Roman"/>
          <w:sz w:val="20"/>
        </w:rPr>
        <w:t>valacyclovir</w:t>
      </w:r>
      <w:proofErr w:type="spellEnd"/>
      <w:r w:rsidRPr="004F37A9">
        <w:rPr>
          <w:rFonts w:ascii="Times New Roman" w:hAnsi="Times New Roman" w:cs="Times New Roman"/>
          <w:sz w:val="20"/>
        </w:rPr>
        <w:t xml:space="preserve"> till the next visit in two months.</w:t>
      </w:r>
    </w:p>
    <w:p w14:paraId="77757809" w14:textId="3601B9E9" w:rsidR="00AD5552" w:rsidRPr="004F37A9" w:rsidRDefault="004F37A9" w:rsidP="004F37A9">
      <w:pPr>
        <w:spacing w:after="200" w:line="276" w:lineRule="auto"/>
        <w:rPr>
          <w:rFonts w:ascii="Times New Roman" w:hAnsi="Times New Roman" w:cs="Times New Roman"/>
          <w:b/>
          <w:sz w:val="24"/>
        </w:rPr>
      </w:pPr>
      <w:r w:rsidRPr="004F37A9">
        <w:rPr>
          <w:rFonts w:ascii="Times New Roman" w:hAnsi="Times New Roman" w:cs="Times New Roman"/>
          <w:b/>
          <w:sz w:val="24"/>
        </w:rPr>
        <w:t>Biography</w:t>
      </w:r>
    </w:p>
    <w:p w14:paraId="50281B79" w14:textId="2C78FC4C" w:rsidR="00A4774B" w:rsidRPr="004F37A9" w:rsidRDefault="00AD5552" w:rsidP="004F37A9">
      <w:pPr>
        <w:spacing w:after="200" w:line="276" w:lineRule="auto"/>
        <w:jc w:val="both"/>
        <w:rPr>
          <w:rFonts w:ascii="Times New Roman" w:hAnsi="Times New Roman" w:cs="Times New Roman"/>
          <w:sz w:val="24"/>
        </w:rPr>
      </w:pPr>
      <w:r w:rsidRPr="004F37A9">
        <w:rPr>
          <w:rFonts w:ascii="Times New Roman" w:hAnsi="Times New Roman" w:cs="Times New Roman"/>
          <w:sz w:val="20"/>
        </w:rPr>
        <w:t xml:space="preserve">Maryam I. </w:t>
      </w:r>
      <w:proofErr w:type="spellStart"/>
      <w:r w:rsidRPr="004F37A9">
        <w:rPr>
          <w:rFonts w:ascii="Times New Roman" w:hAnsi="Times New Roman" w:cs="Times New Roman"/>
          <w:sz w:val="20"/>
        </w:rPr>
        <w:t>Toma</w:t>
      </w:r>
      <w:proofErr w:type="spellEnd"/>
      <w:r w:rsidRPr="004F37A9">
        <w:rPr>
          <w:rFonts w:ascii="Times New Roman" w:hAnsi="Times New Roman" w:cs="Times New Roman"/>
          <w:sz w:val="20"/>
        </w:rPr>
        <w:t xml:space="preserve"> Al </w:t>
      </w:r>
      <w:proofErr w:type="spellStart"/>
      <w:r w:rsidRPr="004F37A9">
        <w:rPr>
          <w:rFonts w:ascii="Times New Roman" w:hAnsi="Times New Roman" w:cs="Times New Roman"/>
          <w:sz w:val="20"/>
        </w:rPr>
        <w:t>Najjar</w:t>
      </w:r>
      <w:proofErr w:type="spellEnd"/>
      <w:r w:rsidRPr="004F37A9">
        <w:rPr>
          <w:rFonts w:ascii="Times New Roman" w:hAnsi="Times New Roman" w:cs="Times New Roman"/>
          <w:sz w:val="20"/>
        </w:rPr>
        <w:t xml:space="preserve"> is the youngest ophthalmologist graduated in the Middle-East and obtaining the Arab Board of Health Specializations in Ophthalmology and the first Paediatric ophthalmologist who is internationally subspecialize in Ocular Genetics, Uveitis and Ocular immunology diseases besides the pediatric ophthalmology. She finished her medical degree at younger age at 22-year-old from Al - </w:t>
      </w:r>
      <w:proofErr w:type="spellStart"/>
      <w:r w:rsidRPr="004F37A9">
        <w:rPr>
          <w:rFonts w:ascii="Times New Roman" w:hAnsi="Times New Roman" w:cs="Times New Roman"/>
          <w:sz w:val="20"/>
        </w:rPr>
        <w:t>Nahrain</w:t>
      </w:r>
      <w:proofErr w:type="spellEnd"/>
      <w:r w:rsidRPr="004F37A9">
        <w:rPr>
          <w:rFonts w:ascii="Times New Roman" w:hAnsi="Times New Roman" w:cs="Times New Roman"/>
          <w:sz w:val="20"/>
        </w:rPr>
        <w:t xml:space="preserve"> University in Baghdad, Iraq. Later on, she graduated from McGill University with distinction in 2018. She discovered a new genetic mechanism for </w:t>
      </w:r>
      <w:proofErr w:type="spellStart"/>
      <w:r w:rsidRPr="004F37A9">
        <w:rPr>
          <w:rFonts w:ascii="Times New Roman" w:hAnsi="Times New Roman" w:cs="Times New Roman"/>
          <w:sz w:val="20"/>
        </w:rPr>
        <w:t>Leber</w:t>
      </w:r>
      <w:proofErr w:type="spellEnd"/>
      <w:r w:rsidRPr="004F37A9">
        <w:rPr>
          <w:rFonts w:ascii="Times New Roman" w:hAnsi="Times New Roman" w:cs="Times New Roman"/>
          <w:sz w:val="20"/>
        </w:rPr>
        <w:t xml:space="preserve"> Congenital </w:t>
      </w:r>
      <w:proofErr w:type="spellStart"/>
      <w:r w:rsidRPr="004F37A9">
        <w:rPr>
          <w:rFonts w:ascii="Times New Roman" w:hAnsi="Times New Roman" w:cs="Times New Roman"/>
          <w:sz w:val="20"/>
        </w:rPr>
        <w:t>amaurosis</w:t>
      </w:r>
      <w:proofErr w:type="spellEnd"/>
      <w:r w:rsidRPr="004F37A9">
        <w:rPr>
          <w:rFonts w:ascii="Times New Roman" w:hAnsi="Times New Roman" w:cs="Times New Roman"/>
          <w:sz w:val="20"/>
        </w:rPr>
        <w:t xml:space="preserve"> and her discovery </w:t>
      </w:r>
      <w:r w:rsidR="004F37A9">
        <w:rPr>
          <w:rFonts w:ascii="Times New Roman" w:hAnsi="Times New Roman" w:cs="Times New Roman"/>
          <w:sz w:val="20"/>
        </w:rPr>
        <w:t>was published in Nature Journal/</w:t>
      </w:r>
      <w:r w:rsidRPr="004F37A9">
        <w:rPr>
          <w:rFonts w:ascii="Times New Roman" w:hAnsi="Times New Roman" w:cs="Times New Roman"/>
          <w:sz w:val="20"/>
        </w:rPr>
        <w:t xml:space="preserve">Scientific reports in March 2018. She completed her Clinical Paediatric Ophthalmology Fellowship and Ocular Genetics Fellowship at McGill University while she finished the Uveitis and Ocular immunology Fellowship at University de Montreal. In addition to be a missionary ophthalmologist, </w:t>
      </w:r>
      <w:r w:rsidR="004F37A9">
        <w:rPr>
          <w:rFonts w:ascii="Times New Roman" w:hAnsi="Times New Roman" w:cs="Times New Roman"/>
          <w:sz w:val="20"/>
        </w:rPr>
        <w:t xml:space="preserve">she </w:t>
      </w:r>
      <w:r w:rsidRPr="004F37A9">
        <w:rPr>
          <w:rFonts w:ascii="Times New Roman" w:hAnsi="Times New Roman" w:cs="Times New Roman"/>
          <w:sz w:val="20"/>
        </w:rPr>
        <w:t xml:space="preserve">dedicated clinical scientist to fight blindness in everywhere. She is a multitalented physician, she plays Harp, Organ, Piano; </w:t>
      </w:r>
      <w:r w:rsidR="004F37A9">
        <w:rPr>
          <w:rFonts w:ascii="Times New Roman" w:hAnsi="Times New Roman" w:cs="Times New Roman"/>
          <w:sz w:val="20"/>
        </w:rPr>
        <w:t>and a skilled poet and painter.</w:t>
      </w:r>
    </w:p>
    <w:sectPr w:rsidR="00A4774B" w:rsidRPr="004F37A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F2ACC" w14:textId="77777777" w:rsidR="00333F7C" w:rsidRDefault="00333F7C" w:rsidP="004F37A9">
      <w:pPr>
        <w:spacing w:after="0" w:line="240" w:lineRule="auto"/>
      </w:pPr>
      <w:r>
        <w:separator/>
      </w:r>
    </w:p>
  </w:endnote>
  <w:endnote w:type="continuationSeparator" w:id="0">
    <w:p w14:paraId="156F5D6E" w14:textId="77777777" w:rsidR="00333F7C" w:rsidRDefault="00333F7C" w:rsidP="004F3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22357D" w14:textId="77777777" w:rsidR="00333F7C" w:rsidRDefault="00333F7C" w:rsidP="004F37A9">
      <w:pPr>
        <w:spacing w:after="0" w:line="240" w:lineRule="auto"/>
      </w:pPr>
      <w:r>
        <w:separator/>
      </w:r>
    </w:p>
  </w:footnote>
  <w:footnote w:type="continuationSeparator" w:id="0">
    <w:p w14:paraId="7200E592" w14:textId="77777777" w:rsidR="00333F7C" w:rsidRDefault="00333F7C" w:rsidP="004F37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74B"/>
    <w:rsid w:val="00333F7C"/>
    <w:rsid w:val="00390D78"/>
    <w:rsid w:val="004F37A9"/>
    <w:rsid w:val="00A43A31"/>
    <w:rsid w:val="00A4774B"/>
    <w:rsid w:val="00A7076C"/>
    <w:rsid w:val="00AD5552"/>
    <w:rsid w:val="00E25602"/>
    <w:rsid w:val="00FC07B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24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7A9"/>
  </w:style>
  <w:style w:type="paragraph" w:styleId="Footer">
    <w:name w:val="footer"/>
    <w:basedOn w:val="Normal"/>
    <w:link w:val="FooterChar"/>
    <w:uiPriority w:val="99"/>
    <w:unhideWhenUsed/>
    <w:rsid w:val="004F3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7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7A9"/>
  </w:style>
  <w:style w:type="paragraph" w:styleId="Footer">
    <w:name w:val="footer"/>
    <w:basedOn w:val="Normal"/>
    <w:link w:val="FooterChar"/>
    <w:uiPriority w:val="99"/>
    <w:unhideWhenUsed/>
    <w:rsid w:val="004F3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584713">
      <w:bodyDiv w:val="1"/>
      <w:marLeft w:val="0"/>
      <w:marRight w:val="0"/>
      <w:marTop w:val="0"/>
      <w:marBottom w:val="0"/>
      <w:divBdr>
        <w:top w:val="none" w:sz="0" w:space="0" w:color="auto"/>
        <w:left w:val="none" w:sz="0" w:space="0" w:color="auto"/>
        <w:bottom w:val="none" w:sz="0" w:space="0" w:color="auto"/>
        <w:right w:val="none" w:sz="0" w:space="0" w:color="auto"/>
      </w:divBdr>
      <w:divsChild>
        <w:div w:id="644820271">
          <w:marLeft w:val="0"/>
          <w:marRight w:val="0"/>
          <w:marTop w:val="0"/>
          <w:marBottom w:val="0"/>
          <w:divBdr>
            <w:top w:val="none" w:sz="0" w:space="0" w:color="auto"/>
            <w:left w:val="none" w:sz="0" w:space="0" w:color="auto"/>
            <w:bottom w:val="none" w:sz="0" w:space="0" w:color="auto"/>
            <w:right w:val="none" w:sz="0" w:space="0" w:color="auto"/>
          </w:divBdr>
        </w:div>
        <w:div w:id="2097436115">
          <w:marLeft w:val="0"/>
          <w:marRight w:val="0"/>
          <w:marTop w:val="0"/>
          <w:marBottom w:val="0"/>
          <w:divBdr>
            <w:top w:val="none" w:sz="0" w:space="0" w:color="auto"/>
            <w:left w:val="none" w:sz="0" w:space="0" w:color="auto"/>
            <w:bottom w:val="none" w:sz="0" w:space="0" w:color="auto"/>
            <w:right w:val="none" w:sz="0" w:space="0" w:color="auto"/>
          </w:divBdr>
        </w:div>
        <w:div w:id="442529958">
          <w:marLeft w:val="0"/>
          <w:marRight w:val="0"/>
          <w:marTop w:val="0"/>
          <w:marBottom w:val="0"/>
          <w:divBdr>
            <w:top w:val="none" w:sz="0" w:space="0" w:color="auto"/>
            <w:left w:val="none" w:sz="0" w:space="0" w:color="auto"/>
            <w:bottom w:val="none" w:sz="0" w:space="0" w:color="auto"/>
            <w:right w:val="none" w:sz="0" w:space="0" w:color="auto"/>
          </w:divBdr>
        </w:div>
        <w:div w:id="777791712">
          <w:marLeft w:val="0"/>
          <w:marRight w:val="0"/>
          <w:marTop w:val="0"/>
          <w:marBottom w:val="0"/>
          <w:divBdr>
            <w:top w:val="none" w:sz="0" w:space="0" w:color="auto"/>
            <w:left w:val="none" w:sz="0" w:space="0" w:color="auto"/>
            <w:bottom w:val="none" w:sz="0" w:space="0" w:color="auto"/>
            <w:right w:val="none" w:sz="0" w:space="0" w:color="auto"/>
          </w:divBdr>
        </w:div>
      </w:divsChild>
    </w:div>
    <w:div w:id="179124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radia shaba3</dc:creator>
  <cp:keywords/>
  <dc:description/>
  <cp:lastModifiedBy>Swetha Sandala</cp:lastModifiedBy>
  <cp:revision>11</cp:revision>
  <dcterms:created xsi:type="dcterms:W3CDTF">2022-08-08T17:15:00Z</dcterms:created>
  <dcterms:modified xsi:type="dcterms:W3CDTF">2022-08-12T05:21:00Z</dcterms:modified>
</cp:coreProperties>
</file>