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614CE">
      <w:pPr>
        <w:rPr>
          <w:rFonts w:ascii="Times New Roman" w:hAnsi="Times New Roman" w:cs="Times New Roman"/>
          <w:b/>
          <w:sz w:val="32"/>
        </w:rPr>
      </w:pPr>
      <w:r w:rsidRPr="000614CE">
        <w:rPr>
          <w:rFonts w:ascii="Times New Roman" w:hAnsi="Times New Roman" w:cs="Times New Roman"/>
          <w:b/>
          <w:sz w:val="32"/>
        </w:rPr>
        <w:t>Metonymy processing in Chinese</w:t>
      </w:r>
      <w:r>
        <w:rPr>
          <w:rFonts w:ascii="Times New Roman" w:eastAsia="MS Gothic" w:hAnsi="Times New Roman" w:cs="Times New Roman"/>
          <w:b/>
          <w:sz w:val="32"/>
        </w:rPr>
        <w:t xml:space="preserve">: </w:t>
      </w:r>
      <w:r>
        <w:rPr>
          <w:rFonts w:ascii="Times New Roman" w:hAnsi="Times New Roman" w:cs="Times New Roman"/>
          <w:b/>
          <w:sz w:val="32"/>
        </w:rPr>
        <w:t>A</w:t>
      </w:r>
      <w:r w:rsidRPr="000614CE">
        <w:rPr>
          <w:rFonts w:ascii="Times New Roman" w:hAnsi="Times New Roman" w:cs="Times New Roman"/>
          <w:b/>
          <w:sz w:val="32"/>
        </w:rPr>
        <w:t xml:space="preserve"> preliminary context-sensitive study with eye tracking technology</w:t>
      </w:r>
    </w:p>
    <w:p w:rsidR="000614CE" w:rsidRDefault="000614CE">
      <w:pPr>
        <w:rPr>
          <w:rFonts w:ascii="Times New Roman" w:hAnsi="Times New Roman" w:cs="Times New Roman"/>
          <w:sz w:val="24"/>
        </w:rPr>
      </w:pPr>
      <w:proofErr w:type="spellStart"/>
      <w:r w:rsidRPr="000614CE">
        <w:rPr>
          <w:rFonts w:ascii="Times New Roman" w:hAnsi="Times New Roman" w:cs="Times New Roman"/>
          <w:sz w:val="24"/>
        </w:rPr>
        <w:t>Xianglan</w:t>
      </w:r>
      <w:proofErr w:type="spellEnd"/>
      <w:r w:rsidRPr="000614CE">
        <w:rPr>
          <w:rFonts w:ascii="Times New Roman" w:hAnsi="Times New Roman" w:cs="Times New Roman"/>
          <w:sz w:val="24"/>
        </w:rPr>
        <w:t xml:space="preserve"> Chen</w:t>
      </w:r>
    </w:p>
    <w:p w:rsidR="000614CE" w:rsidRPr="000614CE" w:rsidRDefault="000614CE">
      <w:pPr>
        <w:rPr>
          <w:rFonts w:ascii="Times New Roman" w:hAnsi="Times New Roman" w:cs="Times New Roman"/>
        </w:rPr>
      </w:pPr>
      <w:r w:rsidRPr="000614CE">
        <w:rPr>
          <w:rFonts w:ascii="Times New Roman" w:hAnsi="Times New Roman" w:cs="Times New Roman"/>
        </w:rPr>
        <w:t>Beijing Language and Culture University, China</w:t>
      </w:r>
    </w:p>
    <w:p w:rsidR="000614CE" w:rsidRPr="000614CE" w:rsidRDefault="000614CE" w:rsidP="000614CE">
      <w:pPr>
        <w:jc w:val="center"/>
        <w:rPr>
          <w:rFonts w:ascii="Times New Roman" w:hAnsi="Times New Roman" w:cs="Times New Roman"/>
          <w:b/>
          <w:sz w:val="24"/>
        </w:rPr>
      </w:pPr>
      <w:r w:rsidRPr="000614CE">
        <w:rPr>
          <w:rFonts w:ascii="Times New Roman" w:hAnsi="Times New Roman" w:cs="Times New Roman"/>
          <w:b/>
          <w:sz w:val="24"/>
        </w:rPr>
        <w:t>Abstract</w:t>
      </w:r>
    </w:p>
    <w:p w:rsidR="000614CE" w:rsidRPr="000614CE" w:rsidRDefault="000614CE" w:rsidP="000614CE">
      <w:pPr>
        <w:jc w:val="both"/>
        <w:rPr>
          <w:rFonts w:ascii="Times New Roman" w:hAnsi="Times New Roman" w:cs="Times New Roman"/>
          <w:sz w:val="20"/>
        </w:rPr>
      </w:pPr>
      <w:r w:rsidRPr="000614CE">
        <w:rPr>
          <w:rFonts w:ascii="Times New Roman" w:hAnsi="Times New Roman" w:cs="Times New Roman"/>
          <w:sz w:val="20"/>
        </w:rPr>
        <w:t xml:space="preserve">Cognitive theories of metonymy understanding are typically described in terms of the mappings between two domains of abstract, schematic, disembodied knowledge. Some researches proposed that understanding metaphorical expressions is a process of building a </w:t>
      </w:r>
      <w:r w:rsidRPr="000614CE">
        <w:rPr>
          <w:rFonts w:ascii="Times New Roman" w:hAnsi="Times New Roman" w:cs="Times New Roman"/>
          <w:sz w:val="20"/>
        </w:rPr>
        <w:t>simulation that</w:t>
      </w:r>
      <w:r w:rsidRPr="000614CE">
        <w:rPr>
          <w:rFonts w:ascii="Times New Roman" w:hAnsi="Times New Roman" w:cs="Times New Roman"/>
          <w:sz w:val="20"/>
        </w:rPr>
        <w:t xml:space="preserve"> is fundamentally embodied in being constrained by past and present bodily experiences. However, few empirical studies address how context affects metonymy processing in English, and even fewer do so in other languages. The present study us</w:t>
      </w:r>
      <w:r>
        <w:rPr>
          <w:rFonts w:ascii="Times New Roman" w:hAnsi="Times New Roman" w:cs="Times New Roman"/>
          <w:sz w:val="20"/>
        </w:rPr>
        <w:t xml:space="preserve">es eye-tracking experimentation </w:t>
      </w:r>
      <w:r w:rsidRPr="000614CE">
        <w:rPr>
          <w:rFonts w:ascii="Times New Roman" w:hAnsi="Times New Roman" w:cs="Times New Roman"/>
          <w:sz w:val="20"/>
        </w:rPr>
        <w:t xml:space="preserve">to explore Chinese metonymy processing, focusing on how the contextual information of both the preceding target words and the immediate spillover after the target words affects metonymic processing based on whether the logical relationship between the preceding contextual information and the target word is strong or weak (a 2×2 between-subject experiment with target words of literal/metonymy and logic of strong/weak). Results show that readers take longer to arrive at a literal interpretation than at a metonymic interpretation when the preceding information is in a weak logic relationship with target words, although this disparity can disappear when the logic is strong. Another finding is that both the preceding and the spillover contextual information contribute to Chinese metonymy processing when the spillover information does more to the metonymy than it does to the literal meaning. This study further supports Grice’s theory of pragmatic reasoning and develops additional information on how the components of sentences contribute to the metonymic processing of target words. Based on an experiment, a contextual model of Chinese metonymy processing is proposed. </w:t>
      </w:r>
    </w:p>
    <w:p w:rsidR="000614CE" w:rsidRDefault="000614CE" w:rsidP="000614CE">
      <w:pPr>
        <w:jc w:val="both"/>
        <w:rPr>
          <w:rFonts w:ascii="Times New Roman" w:hAnsi="Times New Roman" w:cs="Times New Roman"/>
          <w:sz w:val="20"/>
        </w:rPr>
      </w:pPr>
      <w:r w:rsidRPr="000614CE">
        <w:rPr>
          <w:rFonts w:ascii="Times New Roman" w:hAnsi="Times New Roman" w:cs="Times New Roman"/>
          <w:b/>
          <w:sz w:val="20"/>
        </w:rPr>
        <w:t>Keywords:</w:t>
      </w:r>
      <w:r>
        <w:rPr>
          <w:rFonts w:ascii="Times New Roman" w:hAnsi="Times New Roman" w:cs="Times New Roman"/>
          <w:sz w:val="20"/>
        </w:rPr>
        <w:t xml:space="preserve"> </w:t>
      </w:r>
      <w:r w:rsidRPr="000614CE">
        <w:rPr>
          <w:rFonts w:ascii="Times New Roman" w:hAnsi="Times New Roman" w:cs="Times New Roman"/>
          <w:sz w:val="20"/>
        </w:rPr>
        <w:t xml:space="preserve">Metonymy </w:t>
      </w:r>
      <w:r w:rsidRPr="000614CE">
        <w:rPr>
          <w:rFonts w:ascii="Times New Roman" w:hAnsi="Times New Roman" w:cs="Times New Roman"/>
          <w:sz w:val="20"/>
        </w:rPr>
        <w:t xml:space="preserve">processing, </w:t>
      </w:r>
      <w:r w:rsidRPr="000614CE">
        <w:rPr>
          <w:rFonts w:ascii="Times New Roman" w:hAnsi="Times New Roman" w:cs="Times New Roman"/>
          <w:sz w:val="20"/>
        </w:rPr>
        <w:t xml:space="preserve">Embodied </w:t>
      </w:r>
      <w:r w:rsidRPr="000614CE">
        <w:rPr>
          <w:rFonts w:ascii="Times New Roman" w:hAnsi="Times New Roman" w:cs="Times New Roman"/>
          <w:sz w:val="20"/>
        </w:rPr>
        <w:t>cognition</w:t>
      </w:r>
      <w:r>
        <w:rPr>
          <w:rFonts w:ascii="Times New Roman" w:eastAsia="MS Gothic" w:hAnsi="Times New Roman" w:cs="Times New Roman"/>
          <w:sz w:val="20"/>
        </w:rPr>
        <w:t xml:space="preserve">, </w:t>
      </w:r>
      <w:r w:rsidRPr="000614CE">
        <w:rPr>
          <w:rFonts w:ascii="Times New Roman" w:hAnsi="Times New Roman" w:cs="Times New Roman"/>
          <w:sz w:val="20"/>
        </w:rPr>
        <w:t xml:space="preserve">Preceding </w:t>
      </w:r>
      <w:r w:rsidRPr="000614CE">
        <w:rPr>
          <w:rFonts w:ascii="Times New Roman" w:hAnsi="Times New Roman" w:cs="Times New Roman"/>
          <w:sz w:val="20"/>
        </w:rPr>
        <w:t xml:space="preserve">contextual information, </w:t>
      </w:r>
      <w:r w:rsidRPr="000614CE">
        <w:rPr>
          <w:rFonts w:ascii="Times New Roman" w:hAnsi="Times New Roman" w:cs="Times New Roman"/>
          <w:sz w:val="20"/>
        </w:rPr>
        <w:t xml:space="preserve">Eye </w:t>
      </w:r>
      <w:r w:rsidRPr="000614CE">
        <w:rPr>
          <w:rFonts w:ascii="Times New Roman" w:hAnsi="Times New Roman" w:cs="Times New Roman"/>
          <w:sz w:val="20"/>
        </w:rPr>
        <w:t xml:space="preserve">tracking, </w:t>
      </w:r>
      <w:r w:rsidRPr="000614CE">
        <w:rPr>
          <w:rFonts w:ascii="Times New Roman" w:hAnsi="Times New Roman" w:cs="Times New Roman"/>
          <w:sz w:val="20"/>
        </w:rPr>
        <w:t xml:space="preserve">Spillover </w:t>
      </w:r>
      <w:r w:rsidRPr="000614CE">
        <w:rPr>
          <w:rFonts w:ascii="Times New Roman" w:hAnsi="Times New Roman" w:cs="Times New Roman"/>
          <w:sz w:val="20"/>
        </w:rPr>
        <w:t>contextual information.</w:t>
      </w:r>
    </w:p>
    <w:p w:rsidR="000614CE" w:rsidRPr="000614CE" w:rsidRDefault="000614CE" w:rsidP="000614CE">
      <w:pPr>
        <w:rPr>
          <w:rFonts w:ascii="Times New Roman" w:hAnsi="Times New Roman" w:cs="Times New Roman"/>
          <w:b/>
          <w:sz w:val="24"/>
        </w:rPr>
      </w:pPr>
      <w:r w:rsidRPr="000614CE">
        <w:rPr>
          <w:rFonts w:ascii="Times New Roman" w:hAnsi="Times New Roman" w:cs="Times New Roman"/>
          <w:b/>
          <w:sz w:val="24"/>
        </w:rPr>
        <w:t xml:space="preserve">Biography </w:t>
      </w:r>
    </w:p>
    <w:p w:rsidR="000614CE" w:rsidRPr="000614CE" w:rsidRDefault="000614CE" w:rsidP="000614CE">
      <w:pPr>
        <w:jc w:val="both"/>
        <w:rPr>
          <w:rFonts w:ascii="Times New Roman" w:hAnsi="Times New Roman" w:cs="Times New Roman"/>
          <w:sz w:val="24"/>
        </w:rPr>
      </w:pPr>
      <w:proofErr w:type="spellStart"/>
      <w:r w:rsidRPr="000614CE">
        <w:rPr>
          <w:rFonts w:ascii="Times New Roman" w:hAnsi="Times New Roman" w:cs="Times New Roman"/>
          <w:sz w:val="20"/>
        </w:rPr>
        <w:t>ChenXianglan</w:t>
      </w:r>
      <w:proofErr w:type="spellEnd"/>
      <w:r w:rsidRPr="000614CE">
        <w:rPr>
          <w:rFonts w:ascii="Times New Roman" w:hAnsi="Times New Roman" w:cs="Times New Roman"/>
          <w:sz w:val="20"/>
        </w:rPr>
        <w:t xml:space="preserve"> is professor at Center for the Cognitive Science of Language at Beijing Language and Culture University. Her main research interests are in theoretical and eye-tracking experimental including cognitive linguistics; </w:t>
      </w:r>
      <w:r w:rsidRPr="000614CE">
        <w:rPr>
          <w:rFonts w:ascii="Times New Roman" w:hAnsi="Times New Roman" w:cs="Times New Roman"/>
          <w:sz w:val="20"/>
        </w:rPr>
        <w:t>psycholinguistics</w:t>
      </w:r>
      <w:r w:rsidRPr="000614CE">
        <w:rPr>
          <w:rFonts w:ascii="Times New Roman" w:hAnsi="Times New Roman" w:cs="Times New Roman"/>
          <w:sz w:val="20"/>
        </w:rPr>
        <w:t xml:space="preserve">; brain and cognition; business English; Tourism; advertisement; culture and teaching. She has been head of over 30 research projects including two National Planning Funds of Philosophy and </w:t>
      </w:r>
      <w:r>
        <w:rPr>
          <w:rFonts w:ascii="Times New Roman" w:hAnsi="Times New Roman" w:cs="Times New Roman"/>
          <w:sz w:val="20"/>
        </w:rPr>
        <w:t>Social Science</w:t>
      </w:r>
      <w:r w:rsidRPr="000614CE">
        <w:rPr>
          <w:rFonts w:ascii="Times New Roman" w:hAnsi="Times New Roman" w:cs="Times New Roman"/>
          <w:sz w:val="20"/>
        </w:rPr>
        <w:t xml:space="preserve"> (Project number</w:t>
      </w:r>
      <w:r>
        <w:rPr>
          <w:rFonts w:ascii="Times New Roman" w:hAnsi="Times New Roman" w:cs="Times New Roman"/>
          <w:sz w:val="20"/>
        </w:rPr>
        <w:t xml:space="preserve"> 11BYY010; </w:t>
      </w:r>
      <w:r w:rsidRPr="000614CE">
        <w:rPr>
          <w:rFonts w:ascii="Times New Roman" w:hAnsi="Times New Roman" w:cs="Times New Roman"/>
          <w:sz w:val="20"/>
        </w:rPr>
        <w:t xml:space="preserve">19BYY016). The </w:t>
      </w:r>
      <w:bookmarkStart w:id="0" w:name="_GoBack"/>
      <w:bookmarkEnd w:id="0"/>
      <w:r w:rsidRPr="000614CE">
        <w:rPr>
          <w:rFonts w:ascii="Times New Roman" w:hAnsi="Times New Roman" w:cs="Times New Roman"/>
          <w:sz w:val="20"/>
        </w:rPr>
        <w:t xml:space="preserve">National Post Doctor Association (project number: 20070420267) and three projects of Ministry of Education (project number: 09YJA740022; </w:t>
      </w:r>
      <w:r>
        <w:rPr>
          <w:rFonts w:ascii="Times New Roman" w:hAnsi="Times New Roman" w:cs="Times New Roman"/>
          <w:sz w:val="20"/>
        </w:rPr>
        <w:t xml:space="preserve">19JHQ035) and Planning Funds of </w:t>
      </w:r>
      <w:r w:rsidRPr="000614CE">
        <w:rPr>
          <w:rFonts w:ascii="Times New Roman" w:hAnsi="Times New Roman" w:cs="Times New Roman"/>
          <w:sz w:val="20"/>
        </w:rPr>
        <w:t>Beijing Key Project of Philosophy and Social Science (project number: 16YYA005) and others. She is often invited to speak at the conferences both in China and other countries and also organizes conferences several times. She has published more than 80 journal articles, most of which have appeared in the key journals of China (CSSCI) and high quality international journals (SSCI). She has three monographs and one of which got the Second-Prize for the 7</w:t>
      </w:r>
      <w:r w:rsidRPr="000614CE">
        <w:rPr>
          <w:rFonts w:ascii="Times New Roman" w:hAnsi="Times New Roman" w:cs="Times New Roman"/>
          <w:sz w:val="20"/>
          <w:vertAlign w:val="superscript"/>
        </w:rPr>
        <w:t>th</w:t>
      </w:r>
      <w:r w:rsidRPr="000614CE">
        <w:rPr>
          <w:rFonts w:ascii="Times New Roman" w:hAnsi="Times New Roman" w:cs="Times New Roman"/>
          <w:sz w:val="20"/>
        </w:rPr>
        <w:t xml:space="preserve"> Outstanding Achievement Award from Ministry of Education which is the highest and national level award for social science in China.</w:t>
      </w:r>
    </w:p>
    <w:sectPr w:rsidR="000614CE" w:rsidRPr="000614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4CE"/>
    <w:rsid w:val="000614C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490</Words>
  <Characters>2797</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2022-09-22T05:21:00Z</dcterms:created>
  <dcterms:modified xsi:type="dcterms:W3CDTF">2022-09-22T05:30:00Z</dcterms:modified>
</cp:coreProperties>
</file>