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1860" w:rsidRPr="00AE1860" w:rsidRDefault="00AE1860" w:rsidP="00AE1860">
      <w:pPr>
        <w:pStyle w:val="BodyText"/>
        <w:spacing w:after="200" w:line="276" w:lineRule="auto"/>
        <w:rPr>
          <w:b/>
          <w:sz w:val="32"/>
        </w:rPr>
      </w:pPr>
      <w:r w:rsidRPr="00AE1860">
        <w:rPr>
          <w:b/>
          <w:sz w:val="32"/>
        </w:rPr>
        <w:t xml:space="preserve">MiRNA-149-5p and </w:t>
      </w:r>
      <w:r>
        <w:rPr>
          <w:b/>
          <w:sz w:val="32"/>
        </w:rPr>
        <w:t>p</w:t>
      </w:r>
      <w:r w:rsidRPr="00AE1860">
        <w:rPr>
          <w:b/>
          <w:sz w:val="32"/>
        </w:rPr>
        <w:t>latelet-activating factor-receptor signaling impacts lung cancer growth and the efficacy of targeted therapy</w:t>
      </w:r>
    </w:p>
    <w:p w:rsidR="009E5D41" w:rsidRDefault="003949F5" w:rsidP="00AE1860">
      <w:pPr>
        <w:pStyle w:val="BodyText"/>
        <w:spacing w:after="200" w:line="276" w:lineRule="auto"/>
      </w:pPr>
      <w:r>
        <w:t>Ravi</w:t>
      </w:r>
      <w:r>
        <w:rPr>
          <w:spacing w:val="-1"/>
        </w:rPr>
        <w:t xml:space="preserve"> </w:t>
      </w:r>
      <w:r>
        <w:t>P.</w:t>
      </w:r>
      <w:r>
        <w:rPr>
          <w:spacing w:val="-1"/>
        </w:rPr>
        <w:t xml:space="preserve"> </w:t>
      </w:r>
      <w:proofErr w:type="spellStart"/>
      <w:r w:rsidR="00AE1860">
        <w:t>Sahu</w:t>
      </w:r>
      <w:proofErr w:type="spellEnd"/>
    </w:p>
    <w:p w:rsidR="009E5D41" w:rsidRPr="00AE1860" w:rsidRDefault="003949F5" w:rsidP="00AE1860">
      <w:pPr>
        <w:pStyle w:val="BodyText"/>
        <w:spacing w:after="200" w:line="276" w:lineRule="auto"/>
        <w:rPr>
          <w:sz w:val="22"/>
        </w:rPr>
      </w:pPr>
      <w:r w:rsidRPr="00AE1860">
        <w:rPr>
          <w:sz w:val="22"/>
        </w:rPr>
        <w:t>Wright</w:t>
      </w:r>
      <w:r w:rsidRPr="00AE1860">
        <w:rPr>
          <w:spacing w:val="1"/>
          <w:sz w:val="22"/>
        </w:rPr>
        <w:t xml:space="preserve"> </w:t>
      </w:r>
      <w:r w:rsidRPr="00AE1860">
        <w:rPr>
          <w:sz w:val="22"/>
        </w:rPr>
        <w:t>State</w:t>
      </w:r>
      <w:r w:rsidRPr="00AE1860">
        <w:rPr>
          <w:spacing w:val="-57"/>
          <w:sz w:val="22"/>
        </w:rPr>
        <w:t xml:space="preserve"> </w:t>
      </w:r>
      <w:r w:rsidRPr="00AE1860">
        <w:rPr>
          <w:sz w:val="22"/>
        </w:rPr>
        <w:t>University,</w:t>
      </w:r>
      <w:r w:rsidRPr="00AE1860">
        <w:rPr>
          <w:spacing w:val="-1"/>
          <w:sz w:val="22"/>
        </w:rPr>
        <w:t xml:space="preserve"> </w:t>
      </w:r>
      <w:r w:rsidR="00AE1860" w:rsidRPr="00AE1860">
        <w:rPr>
          <w:sz w:val="22"/>
        </w:rPr>
        <w:t>Ohio</w:t>
      </w:r>
    </w:p>
    <w:p w:rsidR="00AE1860" w:rsidRDefault="00AE1860" w:rsidP="00AE1860">
      <w:pPr>
        <w:pStyle w:val="BodyText"/>
        <w:spacing w:after="200" w:line="276" w:lineRule="auto"/>
        <w:jc w:val="center"/>
        <w:rPr>
          <w:b/>
        </w:rPr>
      </w:pPr>
      <w:r>
        <w:rPr>
          <w:b/>
        </w:rPr>
        <w:t>Abstract</w:t>
      </w:r>
    </w:p>
    <w:p w:rsidR="009E5D41" w:rsidRDefault="003949F5" w:rsidP="00AE1860">
      <w:pPr>
        <w:pStyle w:val="BodyText"/>
        <w:spacing w:after="200" w:line="276" w:lineRule="auto"/>
        <w:jc w:val="both"/>
        <w:rPr>
          <w:sz w:val="20"/>
        </w:rPr>
      </w:pPr>
      <w:r w:rsidRPr="00AE1860">
        <w:rPr>
          <w:sz w:val="20"/>
        </w:rPr>
        <w:t>Lung cancer remains one of the highly aggressive malignancies associated with poor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>prognosis</w:t>
      </w:r>
      <w:r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and</w:t>
      </w:r>
      <w:r w:rsidRPr="00AE1860">
        <w:rPr>
          <w:spacing w:val="-4"/>
          <w:sz w:val="20"/>
        </w:rPr>
        <w:t xml:space="preserve"> </w:t>
      </w:r>
      <w:r w:rsidRPr="00AE1860">
        <w:rPr>
          <w:sz w:val="20"/>
        </w:rPr>
        <w:t>increased</w:t>
      </w:r>
      <w:r w:rsidRPr="00AE1860">
        <w:rPr>
          <w:spacing w:val="-1"/>
          <w:sz w:val="20"/>
        </w:rPr>
        <w:t xml:space="preserve"> </w:t>
      </w:r>
      <w:r w:rsidRPr="00AE1860">
        <w:rPr>
          <w:sz w:val="20"/>
        </w:rPr>
        <w:t>mortality</w:t>
      </w:r>
      <w:r w:rsidRPr="00AE1860">
        <w:rPr>
          <w:spacing w:val="-9"/>
          <w:sz w:val="20"/>
        </w:rPr>
        <w:t xml:space="preserve"> </w:t>
      </w:r>
      <w:r w:rsidRPr="00AE1860">
        <w:rPr>
          <w:sz w:val="20"/>
        </w:rPr>
        <w:t>rates.</w:t>
      </w:r>
      <w:r w:rsidRPr="00AE1860">
        <w:rPr>
          <w:spacing w:val="-4"/>
          <w:sz w:val="20"/>
        </w:rPr>
        <w:t xml:space="preserve"> </w:t>
      </w:r>
      <w:r w:rsidRPr="00AE1860">
        <w:rPr>
          <w:sz w:val="20"/>
        </w:rPr>
        <w:t>Of</w:t>
      </w:r>
      <w:r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two</w:t>
      </w:r>
      <w:r w:rsidRPr="00AE1860">
        <w:rPr>
          <w:spacing w:val="-4"/>
          <w:sz w:val="20"/>
        </w:rPr>
        <w:t xml:space="preserve"> </w:t>
      </w:r>
      <w:r w:rsidRPr="00AE1860">
        <w:rPr>
          <w:sz w:val="20"/>
        </w:rPr>
        <w:t>major</w:t>
      </w:r>
      <w:r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types,</w:t>
      </w:r>
      <w:r w:rsidRPr="00AE1860">
        <w:rPr>
          <w:spacing w:val="-4"/>
          <w:sz w:val="20"/>
        </w:rPr>
        <w:t xml:space="preserve"> </w:t>
      </w:r>
      <w:r w:rsidR="00AE1860" w:rsidRPr="00AE1860">
        <w:rPr>
          <w:sz w:val="20"/>
        </w:rPr>
        <w:t>Non-Small</w:t>
      </w:r>
      <w:r w:rsidR="00AE1860" w:rsidRPr="00AE1860">
        <w:rPr>
          <w:spacing w:val="-4"/>
          <w:sz w:val="20"/>
        </w:rPr>
        <w:t xml:space="preserve"> </w:t>
      </w:r>
      <w:r w:rsidR="00AE1860" w:rsidRPr="00AE1860">
        <w:rPr>
          <w:sz w:val="20"/>
        </w:rPr>
        <w:t>Cell</w:t>
      </w:r>
      <w:r w:rsidR="00AE1860" w:rsidRPr="00AE1860">
        <w:rPr>
          <w:spacing w:val="-1"/>
          <w:sz w:val="20"/>
        </w:rPr>
        <w:t xml:space="preserve"> </w:t>
      </w:r>
      <w:r w:rsidR="00AE1860" w:rsidRPr="00AE1860">
        <w:rPr>
          <w:sz w:val="20"/>
        </w:rPr>
        <w:t>Lung</w:t>
      </w:r>
      <w:r w:rsidR="00AE1860" w:rsidRPr="00AE1860">
        <w:rPr>
          <w:spacing w:val="-6"/>
          <w:sz w:val="20"/>
        </w:rPr>
        <w:t xml:space="preserve"> </w:t>
      </w:r>
      <w:r w:rsidR="00AE1860" w:rsidRPr="00AE1860">
        <w:rPr>
          <w:sz w:val="20"/>
        </w:rPr>
        <w:t>Cancer</w:t>
      </w:r>
      <w:r w:rsidR="00AE1860"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(NSCLC)</w:t>
      </w:r>
      <w:r w:rsidRPr="00AE1860">
        <w:rPr>
          <w:spacing w:val="-57"/>
          <w:sz w:val="20"/>
        </w:rPr>
        <w:t xml:space="preserve"> </w:t>
      </w:r>
      <w:r w:rsidRPr="00AE1860">
        <w:rPr>
          <w:sz w:val="20"/>
        </w:rPr>
        <w:t>is the mo</w:t>
      </w:r>
      <w:r w:rsidRPr="00AE1860">
        <w:rPr>
          <w:sz w:val="20"/>
        </w:rPr>
        <w:t>st prevalent type and detected in 80-85% lung cancer cases. Several studies have shown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>the involvement of multiple signaling pathways in affecting the growth and treatment efficacy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>using NSCLC models. To that end, the roles of microRNAs (</w:t>
      </w:r>
      <w:proofErr w:type="spellStart"/>
      <w:r w:rsidRPr="00AE1860">
        <w:rPr>
          <w:sz w:val="20"/>
        </w:rPr>
        <w:t>miRs</w:t>
      </w:r>
      <w:proofErr w:type="spellEnd"/>
      <w:r w:rsidRPr="00AE1860">
        <w:rPr>
          <w:sz w:val="20"/>
        </w:rPr>
        <w:t>) in essential</w:t>
      </w:r>
      <w:r w:rsidRPr="00AE1860">
        <w:rPr>
          <w:sz w:val="20"/>
        </w:rPr>
        <w:t>ly all biological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 xml:space="preserve">processes are evident. The altered expression of </w:t>
      </w:r>
      <w:proofErr w:type="spellStart"/>
      <w:r w:rsidRPr="00AE1860">
        <w:rPr>
          <w:sz w:val="20"/>
        </w:rPr>
        <w:t>miRs</w:t>
      </w:r>
      <w:proofErr w:type="spellEnd"/>
      <w:r w:rsidRPr="00AE1860">
        <w:rPr>
          <w:sz w:val="20"/>
        </w:rPr>
        <w:t xml:space="preserve"> has been documented in various disease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 xml:space="preserve">conditions, including cancer. While multiple mechanisms have been identified in mediating </w:t>
      </w:r>
      <w:proofErr w:type="spellStart"/>
      <w:r w:rsidRPr="00AE1860">
        <w:rPr>
          <w:sz w:val="20"/>
        </w:rPr>
        <w:t>miRs</w:t>
      </w:r>
      <w:proofErr w:type="spellEnd"/>
      <w:r w:rsidRPr="00AE1860">
        <w:rPr>
          <w:spacing w:val="-58"/>
          <w:sz w:val="20"/>
        </w:rPr>
        <w:t xml:space="preserve"> </w:t>
      </w:r>
      <w:r w:rsidRPr="00AE1860">
        <w:rPr>
          <w:sz w:val="20"/>
        </w:rPr>
        <w:t xml:space="preserve">effects, the involvement of miR-149-5p in </w:t>
      </w:r>
      <w:r w:rsidR="00AE1860" w:rsidRPr="00AE1860">
        <w:rPr>
          <w:sz w:val="20"/>
        </w:rPr>
        <w:t xml:space="preserve">Platelet-Activating Factor-Receptor </w:t>
      </w:r>
      <w:r w:rsidRPr="00AE1860">
        <w:rPr>
          <w:sz w:val="20"/>
        </w:rPr>
        <w:t>(PAFR)-induced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>effects</w:t>
      </w:r>
      <w:r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on</w:t>
      </w:r>
      <w:r w:rsidRPr="00AE1860">
        <w:rPr>
          <w:spacing w:val="-4"/>
          <w:sz w:val="20"/>
        </w:rPr>
        <w:t xml:space="preserve"> </w:t>
      </w:r>
      <w:r w:rsidRPr="00AE1860">
        <w:rPr>
          <w:sz w:val="20"/>
        </w:rPr>
        <w:t>lung</w:t>
      </w:r>
      <w:r w:rsidRPr="00AE1860">
        <w:rPr>
          <w:spacing w:val="-7"/>
          <w:sz w:val="20"/>
        </w:rPr>
        <w:t xml:space="preserve"> </w:t>
      </w:r>
      <w:r w:rsidRPr="00AE1860">
        <w:rPr>
          <w:sz w:val="20"/>
        </w:rPr>
        <w:t>cancer</w:t>
      </w:r>
      <w:r w:rsidRPr="00AE1860">
        <w:rPr>
          <w:spacing w:val="-2"/>
          <w:sz w:val="20"/>
        </w:rPr>
        <w:t xml:space="preserve"> </w:t>
      </w:r>
      <w:r w:rsidRPr="00AE1860">
        <w:rPr>
          <w:sz w:val="20"/>
        </w:rPr>
        <w:t>growth</w:t>
      </w:r>
      <w:r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and</w:t>
      </w:r>
      <w:r w:rsidRPr="00AE1860">
        <w:rPr>
          <w:spacing w:val="-4"/>
          <w:sz w:val="20"/>
        </w:rPr>
        <w:t xml:space="preserve"> </w:t>
      </w:r>
      <w:r w:rsidRPr="00AE1860">
        <w:rPr>
          <w:sz w:val="20"/>
        </w:rPr>
        <w:t>therapeutic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potential</w:t>
      </w:r>
      <w:r w:rsidRPr="00AE1860">
        <w:rPr>
          <w:spacing w:val="-3"/>
          <w:sz w:val="20"/>
        </w:rPr>
        <w:t xml:space="preserve"> </w:t>
      </w:r>
      <w:r w:rsidRPr="00AE1860">
        <w:rPr>
          <w:sz w:val="20"/>
        </w:rPr>
        <w:t>has</w:t>
      </w:r>
      <w:r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not</w:t>
      </w:r>
      <w:r w:rsidRPr="00AE1860">
        <w:rPr>
          <w:spacing w:val="-3"/>
          <w:sz w:val="20"/>
        </w:rPr>
        <w:t xml:space="preserve"> </w:t>
      </w:r>
      <w:r w:rsidRPr="00AE1860">
        <w:rPr>
          <w:sz w:val="20"/>
        </w:rPr>
        <w:t>been</w:t>
      </w:r>
      <w:r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studied.</w:t>
      </w:r>
      <w:r w:rsidRPr="00AE1860">
        <w:rPr>
          <w:spacing w:val="-4"/>
          <w:sz w:val="20"/>
        </w:rPr>
        <w:t xml:space="preserve"> </w:t>
      </w:r>
      <w:proofErr w:type="gramStart"/>
      <w:r w:rsidRPr="00AE1860">
        <w:rPr>
          <w:sz w:val="20"/>
        </w:rPr>
        <w:t>Given</w:t>
      </w:r>
      <w:r w:rsidRPr="00AE1860">
        <w:rPr>
          <w:spacing w:val="-4"/>
          <w:sz w:val="20"/>
        </w:rPr>
        <w:t xml:space="preserve"> </w:t>
      </w:r>
      <w:r w:rsidRPr="00AE1860">
        <w:rPr>
          <w:sz w:val="20"/>
        </w:rPr>
        <w:t>the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oncogenic</w:t>
      </w:r>
      <w:r w:rsidRPr="00AE1860">
        <w:rPr>
          <w:spacing w:val="-57"/>
          <w:sz w:val="20"/>
        </w:rPr>
        <w:t xml:space="preserve"> </w:t>
      </w:r>
      <w:r w:rsidRPr="00AE1860">
        <w:rPr>
          <w:sz w:val="20"/>
        </w:rPr>
        <w:t>and tumor-su</w:t>
      </w:r>
      <w:r w:rsidR="00AE1860">
        <w:rPr>
          <w:sz w:val="20"/>
        </w:rPr>
        <w:t>ppressive roles of miRNA-149-5p</w:t>
      </w:r>
      <w:r w:rsidRPr="00AE1860">
        <w:rPr>
          <w:sz w:val="20"/>
        </w:rPr>
        <w:t xml:space="preserve"> and the oncogenic effect of PAFR signaling in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>various</w:t>
      </w:r>
      <w:r w:rsidRPr="00AE1860">
        <w:rPr>
          <w:spacing w:val="-9"/>
          <w:sz w:val="20"/>
        </w:rPr>
        <w:t xml:space="preserve"> </w:t>
      </w:r>
      <w:r w:rsidRPr="00AE1860">
        <w:rPr>
          <w:sz w:val="20"/>
        </w:rPr>
        <w:t>cancer</w:t>
      </w:r>
      <w:r w:rsidRPr="00AE1860">
        <w:rPr>
          <w:spacing w:val="-9"/>
          <w:sz w:val="20"/>
        </w:rPr>
        <w:t xml:space="preserve"> </w:t>
      </w:r>
      <w:r w:rsidRPr="00AE1860">
        <w:rPr>
          <w:sz w:val="20"/>
        </w:rPr>
        <w:t>models,</w:t>
      </w:r>
      <w:r w:rsidRPr="00AE1860">
        <w:rPr>
          <w:spacing w:val="-10"/>
          <w:sz w:val="20"/>
        </w:rPr>
        <w:t xml:space="preserve"> </w:t>
      </w:r>
      <w:r w:rsidRPr="00AE1860">
        <w:rPr>
          <w:sz w:val="20"/>
        </w:rPr>
        <w:t>our</w:t>
      </w:r>
      <w:r w:rsidRPr="00AE1860">
        <w:rPr>
          <w:spacing w:val="-9"/>
          <w:sz w:val="20"/>
        </w:rPr>
        <w:t xml:space="preserve"> </w:t>
      </w:r>
      <w:r w:rsidRPr="00AE1860">
        <w:rPr>
          <w:sz w:val="20"/>
        </w:rPr>
        <w:t>studies</w:t>
      </w:r>
      <w:r w:rsidRPr="00AE1860">
        <w:rPr>
          <w:spacing w:val="-8"/>
          <w:sz w:val="20"/>
        </w:rPr>
        <w:t xml:space="preserve"> </w:t>
      </w:r>
      <w:r w:rsidR="00AE1860">
        <w:rPr>
          <w:spacing w:val="-8"/>
          <w:sz w:val="20"/>
        </w:rPr>
        <w:t xml:space="preserve">sought </w:t>
      </w:r>
      <w:r w:rsidRPr="00AE1860">
        <w:rPr>
          <w:sz w:val="20"/>
        </w:rPr>
        <w:t>to</w:t>
      </w:r>
      <w:r w:rsidRPr="00AE1860">
        <w:rPr>
          <w:spacing w:val="-10"/>
          <w:sz w:val="20"/>
        </w:rPr>
        <w:t xml:space="preserve"> </w:t>
      </w:r>
      <w:r w:rsidRPr="00AE1860">
        <w:rPr>
          <w:sz w:val="20"/>
        </w:rPr>
        <w:t>determine</w:t>
      </w:r>
      <w:r w:rsidRPr="00AE1860">
        <w:rPr>
          <w:spacing w:val="-10"/>
          <w:sz w:val="20"/>
        </w:rPr>
        <w:t xml:space="preserve"> </w:t>
      </w:r>
      <w:r w:rsidRPr="00AE1860">
        <w:rPr>
          <w:sz w:val="20"/>
        </w:rPr>
        <w:t>the</w:t>
      </w:r>
      <w:r w:rsidRPr="00AE1860">
        <w:rPr>
          <w:spacing w:val="-11"/>
          <w:sz w:val="20"/>
        </w:rPr>
        <w:t xml:space="preserve"> </w:t>
      </w:r>
      <w:r w:rsidRPr="00AE1860">
        <w:rPr>
          <w:sz w:val="20"/>
        </w:rPr>
        <w:t>potential</w:t>
      </w:r>
      <w:r w:rsidRPr="00AE1860">
        <w:rPr>
          <w:spacing w:val="-8"/>
          <w:sz w:val="20"/>
        </w:rPr>
        <w:t xml:space="preserve"> </w:t>
      </w:r>
      <w:r w:rsidRPr="00AE1860">
        <w:rPr>
          <w:sz w:val="20"/>
        </w:rPr>
        <w:t>link</w:t>
      </w:r>
      <w:r w:rsidRPr="00AE1860">
        <w:rPr>
          <w:spacing w:val="-12"/>
          <w:sz w:val="20"/>
        </w:rPr>
        <w:t xml:space="preserve"> </w:t>
      </w:r>
      <w:r w:rsidRPr="00AE1860">
        <w:rPr>
          <w:sz w:val="20"/>
        </w:rPr>
        <w:t>between</w:t>
      </w:r>
      <w:r w:rsidRPr="00AE1860">
        <w:rPr>
          <w:spacing w:val="-9"/>
          <w:sz w:val="20"/>
        </w:rPr>
        <w:t xml:space="preserve"> </w:t>
      </w:r>
      <w:r w:rsidRPr="00AE1860">
        <w:rPr>
          <w:sz w:val="20"/>
        </w:rPr>
        <w:t>miR-149-5p</w:t>
      </w:r>
      <w:r w:rsidRPr="00AE1860">
        <w:rPr>
          <w:spacing w:val="-10"/>
          <w:sz w:val="20"/>
        </w:rPr>
        <w:t xml:space="preserve"> </w:t>
      </w:r>
      <w:r w:rsidRPr="00AE1860">
        <w:rPr>
          <w:sz w:val="20"/>
        </w:rPr>
        <w:t>and</w:t>
      </w:r>
      <w:r w:rsidRPr="00AE1860">
        <w:rPr>
          <w:spacing w:val="-57"/>
          <w:sz w:val="20"/>
        </w:rPr>
        <w:t xml:space="preserve"> </w:t>
      </w:r>
      <w:r w:rsidRPr="00AE1860">
        <w:rPr>
          <w:sz w:val="20"/>
        </w:rPr>
        <w:t>PAFR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signaling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in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NSCLC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models.</w:t>
      </w:r>
      <w:proofErr w:type="gramEnd"/>
      <w:r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Using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A549</w:t>
      </w:r>
      <w:r w:rsidRPr="00AE1860">
        <w:rPr>
          <w:spacing w:val="-4"/>
          <w:sz w:val="20"/>
        </w:rPr>
        <w:t xml:space="preserve"> </w:t>
      </w:r>
      <w:r w:rsidRPr="00AE1860">
        <w:rPr>
          <w:sz w:val="20"/>
        </w:rPr>
        <w:t>and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H1299</w:t>
      </w:r>
      <w:r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cell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lines,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we</w:t>
      </w:r>
      <w:r w:rsidRPr="00AE1860">
        <w:rPr>
          <w:spacing w:val="-7"/>
          <w:sz w:val="20"/>
        </w:rPr>
        <w:t xml:space="preserve"> </w:t>
      </w:r>
      <w:r w:rsidRPr="00AE1860">
        <w:rPr>
          <w:sz w:val="20"/>
        </w:rPr>
        <w:t>first</w:t>
      </w:r>
      <w:r w:rsidRPr="00AE1860">
        <w:rPr>
          <w:spacing w:val="-5"/>
          <w:sz w:val="20"/>
        </w:rPr>
        <w:t xml:space="preserve"> </w:t>
      </w:r>
      <w:r w:rsidRPr="00AE1860">
        <w:rPr>
          <w:sz w:val="20"/>
        </w:rPr>
        <w:t>verified</w:t>
      </w:r>
      <w:r w:rsidRPr="00AE1860">
        <w:rPr>
          <w:spacing w:val="-6"/>
          <w:sz w:val="20"/>
        </w:rPr>
        <w:t xml:space="preserve"> </w:t>
      </w:r>
      <w:r w:rsidRPr="00AE1860">
        <w:rPr>
          <w:sz w:val="20"/>
        </w:rPr>
        <w:t>the</w:t>
      </w:r>
      <w:r w:rsidRPr="00AE1860">
        <w:rPr>
          <w:spacing w:val="-7"/>
          <w:sz w:val="20"/>
        </w:rPr>
        <w:t xml:space="preserve"> </w:t>
      </w:r>
      <w:r w:rsidRPr="00AE1860">
        <w:rPr>
          <w:sz w:val="20"/>
        </w:rPr>
        <w:t>tumor-</w:t>
      </w:r>
      <w:r w:rsidRPr="00AE1860">
        <w:rPr>
          <w:spacing w:val="-58"/>
          <w:sz w:val="20"/>
        </w:rPr>
        <w:t xml:space="preserve"> </w:t>
      </w:r>
      <w:r w:rsidRPr="00AE1860">
        <w:rPr>
          <w:sz w:val="20"/>
        </w:rPr>
        <w:t>suppressive role of miR-149-5p and the growth proliferative effect of PAF</w:t>
      </w:r>
      <w:bookmarkStart w:id="0" w:name="_GoBack"/>
      <w:bookmarkEnd w:id="0"/>
      <w:r w:rsidRPr="00AE1860">
        <w:rPr>
          <w:sz w:val="20"/>
        </w:rPr>
        <w:t>R signaling. Ou</w:t>
      </w:r>
      <w:r w:rsidRPr="00AE1860">
        <w:rPr>
          <w:sz w:val="20"/>
        </w:rPr>
        <w:t>r next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>studies demonstrated that overexpression of miR-149-5p significantly attenuated PAFR agonist,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>CPAF-mediated increased proliferation of NSCLC cells. These findings were confirmed by the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 xml:space="preserve">expression analysis of miR-149-5p, </w:t>
      </w:r>
      <w:proofErr w:type="spellStart"/>
      <w:r w:rsidRPr="00AE1860">
        <w:rPr>
          <w:sz w:val="20"/>
        </w:rPr>
        <w:t>cyclin</w:t>
      </w:r>
      <w:proofErr w:type="spellEnd"/>
      <w:r w:rsidRPr="00AE1860">
        <w:rPr>
          <w:sz w:val="20"/>
        </w:rPr>
        <w:t xml:space="preserve"> D1, and </w:t>
      </w:r>
      <w:proofErr w:type="spellStart"/>
      <w:r w:rsidRPr="00AE1860">
        <w:rPr>
          <w:sz w:val="20"/>
        </w:rPr>
        <w:t>forkhead</w:t>
      </w:r>
      <w:proofErr w:type="spellEnd"/>
      <w:r w:rsidRPr="00AE1860">
        <w:rPr>
          <w:sz w:val="20"/>
        </w:rPr>
        <w:t xml:space="preserve"> box protein M1 (FOXM1) </w:t>
      </w:r>
      <w:r w:rsidRPr="00AE1860">
        <w:rPr>
          <w:i/>
          <w:sz w:val="20"/>
        </w:rPr>
        <w:t>via</w:t>
      </w:r>
      <w:r w:rsidRPr="00AE1860">
        <w:rPr>
          <w:sz w:val="20"/>
        </w:rPr>
        <w:t xml:space="preserve"> </w:t>
      </w:r>
      <w:proofErr w:type="spellStart"/>
      <w:r w:rsidRPr="00AE1860">
        <w:rPr>
          <w:sz w:val="20"/>
        </w:rPr>
        <w:t>qRT</w:t>
      </w:r>
      <w:proofErr w:type="spellEnd"/>
      <w:r w:rsidRPr="00AE1860">
        <w:rPr>
          <w:sz w:val="20"/>
        </w:rPr>
        <w:t>-</w:t>
      </w:r>
      <w:r w:rsidRPr="00AE1860">
        <w:rPr>
          <w:spacing w:val="-1"/>
          <w:sz w:val="20"/>
        </w:rPr>
        <w:t>PCR.</w:t>
      </w:r>
      <w:r w:rsidRPr="00AE1860">
        <w:rPr>
          <w:spacing w:val="-10"/>
          <w:sz w:val="20"/>
        </w:rPr>
        <w:t xml:space="preserve"> </w:t>
      </w:r>
      <w:r w:rsidRPr="00AE1860">
        <w:rPr>
          <w:spacing w:val="-1"/>
          <w:sz w:val="20"/>
        </w:rPr>
        <w:t>Our</w:t>
      </w:r>
      <w:r w:rsidRPr="00AE1860">
        <w:rPr>
          <w:spacing w:val="-11"/>
          <w:sz w:val="20"/>
        </w:rPr>
        <w:t xml:space="preserve"> </w:t>
      </w:r>
      <w:r w:rsidRPr="00AE1860">
        <w:rPr>
          <w:spacing w:val="-1"/>
          <w:sz w:val="20"/>
        </w:rPr>
        <w:t>next</w:t>
      </w:r>
      <w:r w:rsidRPr="00AE1860">
        <w:rPr>
          <w:spacing w:val="-10"/>
          <w:sz w:val="20"/>
        </w:rPr>
        <w:t xml:space="preserve"> </w:t>
      </w:r>
      <w:r w:rsidRPr="00AE1860">
        <w:rPr>
          <w:spacing w:val="-1"/>
          <w:sz w:val="20"/>
        </w:rPr>
        <w:t>studies</w:t>
      </w:r>
      <w:r w:rsidRPr="00AE1860">
        <w:rPr>
          <w:spacing w:val="-9"/>
          <w:sz w:val="20"/>
        </w:rPr>
        <w:t xml:space="preserve"> </w:t>
      </w:r>
      <w:r w:rsidRPr="00AE1860">
        <w:rPr>
          <w:spacing w:val="-1"/>
          <w:sz w:val="20"/>
        </w:rPr>
        <w:t>examined</w:t>
      </w:r>
      <w:r w:rsidRPr="00AE1860">
        <w:rPr>
          <w:spacing w:val="-10"/>
          <w:sz w:val="20"/>
        </w:rPr>
        <w:t xml:space="preserve"> </w:t>
      </w:r>
      <w:r w:rsidRPr="00AE1860">
        <w:rPr>
          <w:sz w:val="20"/>
        </w:rPr>
        <w:t>the</w:t>
      </w:r>
      <w:r w:rsidRPr="00AE1860">
        <w:rPr>
          <w:spacing w:val="-11"/>
          <w:sz w:val="20"/>
        </w:rPr>
        <w:t xml:space="preserve"> </w:t>
      </w:r>
      <w:r w:rsidRPr="00AE1860">
        <w:rPr>
          <w:sz w:val="20"/>
        </w:rPr>
        <w:t>effects</w:t>
      </w:r>
      <w:r w:rsidRPr="00AE1860">
        <w:rPr>
          <w:spacing w:val="-9"/>
          <w:sz w:val="20"/>
        </w:rPr>
        <w:t xml:space="preserve"> </w:t>
      </w:r>
      <w:r w:rsidRPr="00AE1860">
        <w:rPr>
          <w:sz w:val="20"/>
        </w:rPr>
        <w:t>of</w:t>
      </w:r>
      <w:r w:rsidRPr="00AE1860">
        <w:rPr>
          <w:spacing w:val="-11"/>
          <w:sz w:val="20"/>
        </w:rPr>
        <w:t xml:space="preserve"> </w:t>
      </w:r>
      <w:r w:rsidRPr="00AE1860">
        <w:rPr>
          <w:sz w:val="20"/>
        </w:rPr>
        <w:t>the</w:t>
      </w:r>
      <w:r w:rsidRPr="00AE1860">
        <w:rPr>
          <w:spacing w:val="-11"/>
          <w:sz w:val="20"/>
        </w:rPr>
        <w:t xml:space="preserve"> </w:t>
      </w:r>
      <w:r w:rsidRPr="00AE1860">
        <w:rPr>
          <w:sz w:val="20"/>
        </w:rPr>
        <w:t>PAFR</w:t>
      </w:r>
      <w:r w:rsidRPr="00AE1860">
        <w:rPr>
          <w:spacing w:val="-8"/>
          <w:sz w:val="20"/>
        </w:rPr>
        <w:t xml:space="preserve"> </w:t>
      </w:r>
      <w:r w:rsidRPr="00AE1860">
        <w:rPr>
          <w:sz w:val="20"/>
        </w:rPr>
        <w:t>and</w:t>
      </w:r>
      <w:r w:rsidRPr="00AE1860">
        <w:rPr>
          <w:spacing w:val="-10"/>
          <w:sz w:val="20"/>
        </w:rPr>
        <w:t xml:space="preserve"> </w:t>
      </w:r>
      <w:r w:rsidRPr="00AE1860">
        <w:rPr>
          <w:sz w:val="20"/>
        </w:rPr>
        <w:t>miR-149-5p</w:t>
      </w:r>
      <w:r w:rsidRPr="00AE1860">
        <w:rPr>
          <w:spacing w:val="-10"/>
          <w:sz w:val="20"/>
        </w:rPr>
        <w:t xml:space="preserve"> </w:t>
      </w:r>
      <w:r w:rsidRPr="00AE1860">
        <w:rPr>
          <w:sz w:val="20"/>
        </w:rPr>
        <w:t>on</w:t>
      </w:r>
      <w:r w:rsidRPr="00AE1860">
        <w:rPr>
          <w:spacing w:val="-9"/>
          <w:sz w:val="20"/>
        </w:rPr>
        <w:t xml:space="preserve"> </w:t>
      </w:r>
      <w:r w:rsidRPr="00AE1860">
        <w:rPr>
          <w:sz w:val="20"/>
        </w:rPr>
        <w:t>targeted</w:t>
      </w:r>
      <w:r w:rsidRPr="00AE1860">
        <w:rPr>
          <w:spacing w:val="-10"/>
          <w:sz w:val="20"/>
        </w:rPr>
        <w:t xml:space="preserve"> </w:t>
      </w:r>
      <w:r w:rsidRPr="00AE1860">
        <w:rPr>
          <w:sz w:val="20"/>
        </w:rPr>
        <w:t>therapy</w:t>
      </w:r>
      <w:r w:rsidRPr="00AE1860">
        <w:rPr>
          <w:spacing w:val="-15"/>
          <w:sz w:val="20"/>
        </w:rPr>
        <w:t xml:space="preserve"> </w:t>
      </w:r>
      <w:r w:rsidRPr="00AE1860">
        <w:rPr>
          <w:sz w:val="20"/>
        </w:rPr>
        <w:t>(i.e.,</w:t>
      </w:r>
      <w:r w:rsidRPr="00AE1860">
        <w:rPr>
          <w:spacing w:val="-57"/>
          <w:sz w:val="20"/>
        </w:rPr>
        <w:t xml:space="preserve"> </w:t>
      </w:r>
      <w:proofErr w:type="spellStart"/>
      <w:r w:rsidRPr="00AE1860">
        <w:rPr>
          <w:sz w:val="20"/>
        </w:rPr>
        <w:t>erlotinib</w:t>
      </w:r>
      <w:proofErr w:type="spellEnd"/>
      <w:r w:rsidRPr="00AE1860">
        <w:rPr>
          <w:sz w:val="20"/>
        </w:rPr>
        <w:t xml:space="preserve"> and </w:t>
      </w:r>
      <w:proofErr w:type="spellStart"/>
      <w:r w:rsidRPr="00AE1860">
        <w:rPr>
          <w:sz w:val="20"/>
        </w:rPr>
        <w:t>gefitinib</w:t>
      </w:r>
      <w:proofErr w:type="spellEnd"/>
      <w:r w:rsidRPr="00AE1860">
        <w:rPr>
          <w:sz w:val="20"/>
        </w:rPr>
        <w:t>) responses. We found that both these therapi</w:t>
      </w:r>
      <w:r w:rsidRPr="00AE1860">
        <w:rPr>
          <w:sz w:val="20"/>
        </w:rPr>
        <w:t>es inhibit the survival of A549</w:t>
      </w:r>
      <w:r w:rsidRPr="00AE1860">
        <w:rPr>
          <w:spacing w:val="-57"/>
          <w:sz w:val="20"/>
        </w:rPr>
        <w:t xml:space="preserve"> </w:t>
      </w:r>
      <w:r w:rsidRPr="00AE1860">
        <w:rPr>
          <w:sz w:val="20"/>
        </w:rPr>
        <w:t>and H1299 cell lines in a dose- and time-dependent manner. Importantly, activation of the PAFR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>significantly blocked this effect. These findings indic</w:t>
      </w:r>
      <w:r w:rsidR="00AE1860">
        <w:rPr>
          <w:sz w:val="20"/>
        </w:rPr>
        <w:t>ate that miR-149-5p blocks PAFR-</w:t>
      </w:r>
      <w:r w:rsidRPr="00AE1860">
        <w:rPr>
          <w:sz w:val="20"/>
        </w:rPr>
        <w:t>mediated</w:t>
      </w:r>
      <w:r w:rsidRPr="00AE1860">
        <w:rPr>
          <w:spacing w:val="-57"/>
          <w:sz w:val="20"/>
        </w:rPr>
        <w:t xml:space="preserve"> </w:t>
      </w:r>
      <w:r w:rsidRPr="00AE1860">
        <w:rPr>
          <w:sz w:val="20"/>
        </w:rPr>
        <w:t xml:space="preserve">increased cell proliferation and </w:t>
      </w:r>
      <w:r w:rsidRPr="00AE1860">
        <w:rPr>
          <w:sz w:val="20"/>
        </w:rPr>
        <w:t>that PAFR activation attenuates the cytotoxic effects of targeted</w:t>
      </w:r>
      <w:r w:rsidRPr="00AE1860">
        <w:rPr>
          <w:spacing w:val="1"/>
          <w:sz w:val="20"/>
        </w:rPr>
        <w:t xml:space="preserve"> </w:t>
      </w:r>
      <w:r w:rsidRPr="00AE1860">
        <w:rPr>
          <w:sz w:val="20"/>
        </w:rPr>
        <w:t>therapy.</w:t>
      </w:r>
    </w:p>
    <w:p w:rsidR="00AE1860" w:rsidRPr="00AE1860" w:rsidRDefault="00AE1860" w:rsidP="00AE1860">
      <w:pPr>
        <w:pStyle w:val="BodyText"/>
        <w:spacing w:after="200" w:line="276" w:lineRule="auto"/>
        <w:rPr>
          <w:b/>
        </w:rPr>
      </w:pPr>
      <w:commentRangeStart w:id="1"/>
      <w:r w:rsidRPr="00AE1860">
        <w:rPr>
          <w:b/>
        </w:rPr>
        <w:t>Biography</w:t>
      </w:r>
      <w:commentRangeEnd w:id="1"/>
      <w:r w:rsidR="003949F5">
        <w:rPr>
          <w:rStyle w:val="CommentReference"/>
        </w:rPr>
        <w:commentReference w:id="1"/>
      </w:r>
    </w:p>
    <w:sectPr w:rsidR="00AE1860" w:rsidRPr="00AE1860">
      <w:type w:val="continuous"/>
      <w:pgSz w:w="12240" w:h="15840"/>
      <w:pgMar w:top="1360" w:right="1320" w:bottom="280" w:left="132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1" w:author="Swetha Sandala" w:date="2022-07-19T18:24:00Z" w:initials="SS">
    <w:p w:rsidR="003949F5" w:rsidRDefault="003949F5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E5D41"/>
    <w:rsid w:val="003949F5"/>
    <w:rsid w:val="009E5D41"/>
    <w:rsid w:val="00AE1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120" w:right="118"/>
      <w:jc w:val="both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3949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49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49F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49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49F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49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9F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ind w:left="120" w:right="118"/>
      <w:jc w:val="both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3949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49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49F5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49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49F5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49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9F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325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Sahu, Ravi P</dc:creator>
  <cp:lastModifiedBy>Swetha Sandala</cp:lastModifiedBy>
  <cp:revision>3</cp:revision>
  <dcterms:created xsi:type="dcterms:W3CDTF">2022-07-14T07:26:00Z</dcterms:created>
  <dcterms:modified xsi:type="dcterms:W3CDTF">2022-07-19T12:54:00Z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2022-07-10T00:00:00Z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2022-07-14T00:00:00Z</vt:filetime>
  </property>
</Properties>
</file>