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C0F" w:rsidRDefault="00B76924">
      <w:pPr>
        <w:rPr>
          <w:rFonts w:ascii="Times New Roman" w:hAnsi="Times New Roman" w:cs="Times New Roman"/>
          <w:b/>
          <w:sz w:val="32"/>
        </w:rPr>
      </w:pPr>
      <w:bookmarkStart w:id="0" w:name="_GoBack"/>
      <w:r w:rsidRPr="00B76924">
        <w:rPr>
          <w:rFonts w:ascii="Times New Roman" w:hAnsi="Times New Roman" w:cs="Times New Roman"/>
          <w:b/>
          <w:sz w:val="32"/>
        </w:rPr>
        <w:t xml:space="preserve">Dopamine </w:t>
      </w:r>
      <w:r>
        <w:rPr>
          <w:rFonts w:ascii="Times New Roman" w:hAnsi="Times New Roman" w:cs="Times New Roman"/>
          <w:b/>
          <w:sz w:val="32"/>
        </w:rPr>
        <w:t>s</w:t>
      </w:r>
      <w:r w:rsidRPr="00B76924">
        <w:rPr>
          <w:rFonts w:ascii="Times New Roman" w:hAnsi="Times New Roman" w:cs="Times New Roman"/>
          <w:b/>
          <w:sz w:val="32"/>
        </w:rPr>
        <w:t xml:space="preserve">ignaling in the </w:t>
      </w:r>
      <w:r>
        <w:rPr>
          <w:rFonts w:ascii="Times New Roman" w:hAnsi="Times New Roman" w:cs="Times New Roman"/>
          <w:b/>
          <w:sz w:val="32"/>
        </w:rPr>
        <w:t>a</w:t>
      </w:r>
      <w:r w:rsidRPr="00B76924">
        <w:rPr>
          <w:rFonts w:ascii="Times New Roman" w:hAnsi="Times New Roman" w:cs="Times New Roman"/>
          <w:b/>
          <w:sz w:val="32"/>
        </w:rPr>
        <w:t xml:space="preserve">mygdala plays a </w:t>
      </w:r>
      <w:r>
        <w:rPr>
          <w:rFonts w:ascii="Times New Roman" w:hAnsi="Times New Roman" w:cs="Times New Roman"/>
          <w:b/>
          <w:sz w:val="32"/>
        </w:rPr>
        <w:t>c</w:t>
      </w:r>
      <w:r w:rsidRPr="00B76924">
        <w:rPr>
          <w:rFonts w:ascii="Times New Roman" w:hAnsi="Times New Roman" w:cs="Times New Roman"/>
          <w:b/>
          <w:sz w:val="32"/>
        </w:rPr>
        <w:t xml:space="preserve">ausative </w:t>
      </w:r>
      <w:r>
        <w:rPr>
          <w:rFonts w:ascii="Times New Roman" w:hAnsi="Times New Roman" w:cs="Times New Roman"/>
          <w:b/>
          <w:sz w:val="32"/>
        </w:rPr>
        <w:t>r</w:t>
      </w:r>
      <w:r w:rsidRPr="00B76924">
        <w:rPr>
          <w:rFonts w:ascii="Times New Roman" w:hAnsi="Times New Roman" w:cs="Times New Roman"/>
          <w:b/>
          <w:sz w:val="32"/>
        </w:rPr>
        <w:t xml:space="preserve">ole in </w:t>
      </w:r>
      <w:r>
        <w:rPr>
          <w:rFonts w:ascii="Times New Roman" w:hAnsi="Times New Roman" w:cs="Times New Roman"/>
          <w:b/>
          <w:sz w:val="32"/>
        </w:rPr>
        <w:t>m</w:t>
      </w:r>
      <w:r w:rsidRPr="00B76924">
        <w:rPr>
          <w:rFonts w:ascii="Times New Roman" w:hAnsi="Times New Roman" w:cs="Times New Roman"/>
          <w:b/>
          <w:sz w:val="32"/>
        </w:rPr>
        <w:t xml:space="preserve">uscle </w:t>
      </w:r>
      <w:proofErr w:type="spellStart"/>
      <w:r>
        <w:rPr>
          <w:rFonts w:ascii="Times New Roman" w:hAnsi="Times New Roman" w:cs="Times New Roman"/>
          <w:b/>
          <w:sz w:val="32"/>
        </w:rPr>
        <w:t>a</w:t>
      </w:r>
      <w:r w:rsidRPr="00B76924">
        <w:rPr>
          <w:rFonts w:ascii="Times New Roman" w:hAnsi="Times New Roman" w:cs="Times New Roman"/>
          <w:b/>
          <w:sz w:val="32"/>
        </w:rPr>
        <w:t>tonia</w:t>
      </w:r>
      <w:proofErr w:type="spellEnd"/>
      <w:r w:rsidRPr="00B76924">
        <w:rPr>
          <w:rFonts w:ascii="Times New Roman" w:hAnsi="Times New Roman" w:cs="Times New Roman"/>
          <w:b/>
          <w:sz w:val="32"/>
        </w:rPr>
        <w:t xml:space="preserve"> during REM </w:t>
      </w:r>
      <w:r>
        <w:rPr>
          <w:rFonts w:ascii="Times New Roman" w:hAnsi="Times New Roman" w:cs="Times New Roman"/>
          <w:b/>
          <w:sz w:val="32"/>
        </w:rPr>
        <w:t>s</w:t>
      </w:r>
      <w:r w:rsidRPr="00B76924">
        <w:rPr>
          <w:rFonts w:ascii="Times New Roman" w:hAnsi="Times New Roman" w:cs="Times New Roman"/>
          <w:b/>
          <w:sz w:val="32"/>
        </w:rPr>
        <w:t xml:space="preserve">leep and </w:t>
      </w:r>
      <w:r>
        <w:rPr>
          <w:rFonts w:ascii="Times New Roman" w:hAnsi="Times New Roman" w:cs="Times New Roman"/>
          <w:b/>
          <w:sz w:val="32"/>
        </w:rPr>
        <w:t>c</w:t>
      </w:r>
      <w:r w:rsidRPr="00B76924">
        <w:rPr>
          <w:rFonts w:ascii="Times New Roman" w:hAnsi="Times New Roman" w:cs="Times New Roman"/>
          <w:b/>
          <w:sz w:val="32"/>
        </w:rPr>
        <w:t xml:space="preserve">ataplexy in </w:t>
      </w:r>
      <w:r>
        <w:rPr>
          <w:rFonts w:ascii="Times New Roman" w:hAnsi="Times New Roman" w:cs="Times New Roman"/>
          <w:b/>
          <w:sz w:val="32"/>
        </w:rPr>
        <w:t>m</w:t>
      </w:r>
      <w:r w:rsidRPr="00B76924">
        <w:rPr>
          <w:rFonts w:ascii="Times New Roman" w:hAnsi="Times New Roman" w:cs="Times New Roman"/>
          <w:b/>
          <w:sz w:val="32"/>
        </w:rPr>
        <w:t>ice</w:t>
      </w:r>
    </w:p>
    <w:p w:rsidR="00B76924" w:rsidRDefault="00B76924" w:rsidP="00B76924">
      <w:pPr>
        <w:rPr>
          <w:rFonts w:ascii="Times New Roman" w:hAnsi="Times New Roman" w:cs="Times New Roman"/>
          <w:sz w:val="24"/>
        </w:rPr>
      </w:pPr>
      <w:r>
        <w:rPr>
          <w:rFonts w:ascii="Times New Roman" w:hAnsi="Times New Roman" w:cs="Times New Roman"/>
          <w:sz w:val="24"/>
        </w:rPr>
        <w:t>Emi Hasegawa</w:t>
      </w:r>
      <w:r w:rsidRPr="00B76924">
        <w:rPr>
          <w:rFonts w:ascii="Times New Roman" w:hAnsi="Times New Roman" w:cs="Times New Roman"/>
          <w:sz w:val="24"/>
          <w:vertAlign w:val="superscript"/>
        </w:rPr>
        <w:t>1</w:t>
      </w:r>
      <w:r>
        <w:rPr>
          <w:rFonts w:ascii="Times New Roman" w:hAnsi="Times New Roman" w:cs="Times New Roman"/>
          <w:sz w:val="24"/>
        </w:rPr>
        <w:t>*</w:t>
      </w:r>
      <w:r w:rsidRPr="00B76924">
        <w:rPr>
          <w:rFonts w:ascii="Times New Roman" w:hAnsi="Times New Roman" w:cs="Times New Roman"/>
          <w:sz w:val="24"/>
        </w:rPr>
        <w:t>, Ai Miyasaka</w:t>
      </w:r>
      <w:r w:rsidRPr="00B76924">
        <w:rPr>
          <w:rFonts w:ascii="Times New Roman" w:hAnsi="Times New Roman" w:cs="Times New Roman"/>
          <w:sz w:val="24"/>
          <w:vertAlign w:val="superscript"/>
        </w:rPr>
        <w:t>1</w:t>
      </w:r>
      <w:r w:rsidRPr="00B76924">
        <w:rPr>
          <w:rFonts w:ascii="Times New Roman" w:hAnsi="Times New Roman" w:cs="Times New Roman"/>
          <w:sz w:val="24"/>
        </w:rPr>
        <w:t>, Francois Grenier</w:t>
      </w:r>
      <w:r w:rsidRPr="00B76924">
        <w:rPr>
          <w:rFonts w:ascii="Times New Roman" w:hAnsi="Times New Roman" w:cs="Times New Roman"/>
          <w:sz w:val="24"/>
          <w:vertAlign w:val="superscript"/>
        </w:rPr>
        <w:t>1</w:t>
      </w:r>
      <w:r w:rsidRPr="00B76924">
        <w:rPr>
          <w:rFonts w:ascii="Times New Roman" w:hAnsi="Times New Roman" w:cs="Times New Roman"/>
          <w:sz w:val="24"/>
        </w:rPr>
        <w:t xml:space="preserve">, </w:t>
      </w:r>
      <w:proofErr w:type="spellStart"/>
      <w:r w:rsidRPr="00B76924">
        <w:rPr>
          <w:rFonts w:ascii="Times New Roman" w:hAnsi="Times New Roman" w:cs="Times New Roman"/>
          <w:sz w:val="24"/>
        </w:rPr>
        <w:t>Katsuyasu</w:t>
      </w:r>
      <w:proofErr w:type="spellEnd"/>
      <w:r w:rsidRPr="00B76924">
        <w:rPr>
          <w:rFonts w:ascii="Times New Roman" w:hAnsi="Times New Roman" w:cs="Times New Roman"/>
          <w:sz w:val="24"/>
        </w:rPr>
        <w:t xml:space="preserve"> Sakurai</w:t>
      </w:r>
      <w:r w:rsidRPr="00B7692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Yulong</w:t>
      </w:r>
      <w:proofErr w:type="spellEnd"/>
      <w:r>
        <w:rPr>
          <w:rFonts w:ascii="Times New Roman" w:hAnsi="Times New Roman" w:cs="Times New Roman"/>
          <w:sz w:val="24"/>
        </w:rPr>
        <w:t xml:space="preserve"> Li</w:t>
      </w:r>
      <w:r w:rsidRPr="00B76924">
        <w:rPr>
          <w:rFonts w:ascii="Times New Roman" w:hAnsi="Times New Roman" w:cs="Times New Roman"/>
          <w:sz w:val="24"/>
          <w:vertAlign w:val="superscript"/>
        </w:rPr>
        <w:t>2</w:t>
      </w:r>
      <w:r>
        <w:rPr>
          <w:rFonts w:ascii="Times New Roman" w:hAnsi="Times New Roman" w:cs="Times New Roman"/>
          <w:sz w:val="24"/>
        </w:rPr>
        <w:t xml:space="preserve"> and Takeshi Sakurai</w:t>
      </w:r>
      <w:r w:rsidRPr="00B76924">
        <w:rPr>
          <w:rFonts w:ascii="Times New Roman" w:hAnsi="Times New Roman" w:cs="Times New Roman"/>
          <w:sz w:val="24"/>
          <w:vertAlign w:val="superscript"/>
        </w:rPr>
        <w:t>1</w:t>
      </w:r>
    </w:p>
    <w:p w:rsidR="00B76924" w:rsidRPr="00B76924" w:rsidRDefault="00B76924" w:rsidP="00B76924">
      <w:pPr>
        <w:spacing w:after="0"/>
        <w:rPr>
          <w:rFonts w:ascii="Times New Roman" w:hAnsi="Times New Roman" w:cs="Times New Roman"/>
        </w:rPr>
      </w:pPr>
      <w:r w:rsidRPr="00B76924">
        <w:rPr>
          <w:rFonts w:ascii="Times New Roman" w:hAnsi="Times New Roman" w:cs="Times New Roman"/>
          <w:vertAlign w:val="superscript"/>
        </w:rPr>
        <w:t>1</w:t>
      </w:r>
      <w:r w:rsidRPr="00B76924">
        <w:rPr>
          <w:rFonts w:ascii="Times New Roman" w:hAnsi="Times New Roman" w:cs="Times New Roman"/>
        </w:rPr>
        <w:t>University of Tsukuba, Japan</w:t>
      </w:r>
    </w:p>
    <w:p w:rsidR="00B76924" w:rsidRDefault="00B76924" w:rsidP="00B76924">
      <w:pPr>
        <w:rPr>
          <w:rFonts w:ascii="Times New Roman" w:hAnsi="Times New Roman" w:cs="Times New Roman"/>
        </w:rPr>
      </w:pPr>
      <w:r w:rsidRPr="00B76924">
        <w:rPr>
          <w:rFonts w:ascii="Times New Roman" w:hAnsi="Times New Roman" w:cs="Times New Roman"/>
          <w:vertAlign w:val="superscript"/>
        </w:rPr>
        <w:t>2</w:t>
      </w:r>
      <w:r w:rsidRPr="00B76924">
        <w:rPr>
          <w:rFonts w:ascii="Times New Roman" w:hAnsi="Times New Roman" w:cs="Times New Roman"/>
        </w:rPr>
        <w:t>Peking University School of Life Sciences, China</w:t>
      </w:r>
    </w:p>
    <w:p w:rsidR="00B76924" w:rsidRPr="00B76924" w:rsidRDefault="00B76924" w:rsidP="00B76924">
      <w:pPr>
        <w:jc w:val="center"/>
        <w:rPr>
          <w:rFonts w:ascii="Times New Roman" w:hAnsi="Times New Roman" w:cs="Times New Roman"/>
          <w:b/>
          <w:sz w:val="24"/>
        </w:rPr>
      </w:pPr>
      <w:r w:rsidRPr="00B76924">
        <w:rPr>
          <w:rFonts w:ascii="Times New Roman" w:hAnsi="Times New Roman" w:cs="Times New Roman"/>
          <w:b/>
          <w:sz w:val="24"/>
        </w:rPr>
        <w:t>Abstract</w:t>
      </w:r>
    </w:p>
    <w:p w:rsid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Cataplexy is one of the cardinal symptoms of narcolepsy, which is characterized by sudden loss of muscle tone usually triggered by emotion with positive valence. We found that reward perception triggered a transient elevation of Dopamine (DA) level in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(BLA) in narcoleptic mice, which was followed by cataplexy in narcoleptic mice. </w:t>
      </w:r>
      <w:proofErr w:type="spellStart"/>
      <w:r w:rsidRPr="00B76924">
        <w:rPr>
          <w:rFonts w:ascii="Times New Roman" w:hAnsi="Times New Roman" w:cs="Times New Roman"/>
          <w:sz w:val="20"/>
        </w:rPr>
        <w:t>Optogenetic</w:t>
      </w:r>
      <w:proofErr w:type="spellEnd"/>
      <w:r w:rsidRPr="00B76924">
        <w:rPr>
          <w:rFonts w:ascii="Times New Roman" w:hAnsi="Times New Roman" w:cs="Times New Roman"/>
          <w:sz w:val="20"/>
        </w:rPr>
        <w:t xml:space="preserve"> induction of a transient elevation of DA level in the BLA causes Cataplexy-Like Episodes (CLE). Inhibition</w:t>
      </w:r>
      <w:r>
        <w:rPr>
          <w:rFonts w:ascii="Times New Roman" w:hAnsi="Times New Roman" w:cs="Times New Roman"/>
          <w:sz w:val="20"/>
        </w:rPr>
        <w:t xml:space="preserve"> of Dopamine D2 Receptor (DRD2) </w:t>
      </w:r>
      <w:r w:rsidRPr="00B76924">
        <w:rPr>
          <w:rFonts w:ascii="Times New Roman" w:hAnsi="Times New Roman" w:cs="Times New Roman"/>
          <w:sz w:val="20"/>
        </w:rPr>
        <w:t xml:space="preserve">expressing neurons in the BLA decreased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-induced CLE as well as naturally-occurring cataplexy in narcoleptic mice. Local field potential in the BLA showed a positive correlation between theta frequency and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in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 induced CLE as well as in cataplexy and REM sleep. Our findings suggest that a DRD2-mediated neural pathway in the BLA plays an important role in evoking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cataplexy as well as in REM sleep.</w:t>
      </w:r>
    </w:p>
    <w:p w:rsidR="00B76924" w:rsidRDefault="00B76924" w:rsidP="00B76924">
      <w:pPr>
        <w:rPr>
          <w:rFonts w:ascii="Times New Roman" w:hAnsi="Times New Roman" w:cs="Times New Roman"/>
          <w:b/>
          <w:sz w:val="24"/>
        </w:rPr>
      </w:pPr>
      <w:r w:rsidRPr="00B76924">
        <w:rPr>
          <w:rFonts w:ascii="Times New Roman" w:hAnsi="Times New Roman" w:cs="Times New Roman"/>
          <w:b/>
          <w:sz w:val="24"/>
        </w:rPr>
        <w:t>Introduction</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Emotional events trigger behavioral change along with alteration of muscle tone. Animals that encounter fearful situations sometimes show freezing behavior, which is accompanied by increased excitability of α-motor neurons that drives an increase in tone of specific muscles.</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Emotion sometimes results in rather a decrease in muscle tone, such as phenotypes reflecting the expressions like “knees giving away” and “jaw-dropping”. However, the mechanism that links the limbic system and motor system that controls muscle tone remains poorly understood.</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Narcolepsy patients sometimes exhibit attacks called cataplexy, which is a sudden weakening of muscle tone, usually induced by strong emotions. Cataplexy might be an exaggerated expression of muscle tone alteration triggered by emotion and might provide a useful model for elucidating the mechanism that regulates muscle tone in response to emotion. Cataplexy is also usually considered to be a pathological intrusion of REM sleep into wakefulness, because loss of muscle tone is also physiologically seen in REM sleep (REM-</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Solving th</w:t>
      </w:r>
      <w:r>
        <w:rPr>
          <w:rFonts w:ascii="Times New Roman" w:hAnsi="Times New Roman" w:cs="Times New Roman"/>
          <w:sz w:val="20"/>
        </w:rPr>
        <w:t xml:space="preserve">e mechanisms that </w:t>
      </w:r>
      <w:r w:rsidRPr="00B76924">
        <w:rPr>
          <w:rFonts w:ascii="Times New Roman" w:hAnsi="Times New Roman" w:cs="Times New Roman"/>
          <w:sz w:val="20"/>
        </w:rPr>
        <w:t>induced cataplexy might allow us to understand the link between the limbic system and motor system, as well as the role of the limbic system in regulating REM sleep, or REM-</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Cataplexy is usually triggered by emotion with positive valence. This led us to hypothesize that Dopamine (DA) signaling originating from the Ventral Tegmental Area (VTA) is involved in loss of muscle tone in </w:t>
      </w:r>
      <w:proofErr w:type="spellStart"/>
      <w:r w:rsidRPr="00B76924">
        <w:rPr>
          <w:rFonts w:ascii="Times New Roman" w:hAnsi="Times New Roman" w:cs="Times New Roman"/>
          <w:sz w:val="20"/>
        </w:rPr>
        <w:t>cataplectic</w:t>
      </w:r>
      <w:proofErr w:type="spellEnd"/>
      <w:r w:rsidRPr="00B76924">
        <w:rPr>
          <w:rFonts w:ascii="Times New Roman" w:hAnsi="Times New Roman" w:cs="Times New Roman"/>
          <w:sz w:val="20"/>
        </w:rPr>
        <w:t xml:space="preserve"> attacks. In addition, since many studies have suggested involvement of amygdala function in cataplexy, we first examined DA dynamics in the amygdala during </w:t>
      </w:r>
      <w:proofErr w:type="spellStart"/>
      <w:r w:rsidRPr="00B76924">
        <w:rPr>
          <w:rFonts w:ascii="Times New Roman" w:hAnsi="Times New Roman" w:cs="Times New Roman"/>
          <w:sz w:val="20"/>
        </w:rPr>
        <w:t>cataplectic</w:t>
      </w:r>
      <w:proofErr w:type="spellEnd"/>
      <w:r w:rsidRPr="00B76924">
        <w:rPr>
          <w:rFonts w:ascii="Times New Roman" w:hAnsi="Times New Roman" w:cs="Times New Roman"/>
          <w:sz w:val="20"/>
        </w:rPr>
        <w:t xml:space="preserve"> attacks in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transgenic mice, in which </w:t>
      </w:r>
      <w:proofErr w:type="spellStart"/>
      <w:r w:rsidRPr="00B76924">
        <w:rPr>
          <w:rFonts w:ascii="Times New Roman" w:hAnsi="Times New Roman" w:cs="Times New Roman"/>
          <w:sz w:val="20"/>
        </w:rPr>
        <w:t>orexin</w:t>
      </w:r>
      <w:proofErr w:type="spellEnd"/>
      <w:r w:rsidRPr="00B76924">
        <w:rPr>
          <w:rFonts w:ascii="Times New Roman" w:hAnsi="Times New Roman" w:cs="Times New Roman"/>
          <w:sz w:val="20"/>
        </w:rPr>
        <w:t xml:space="preserve"> neurons are genetically ablated. Previous studies suggested involvement of the </w:t>
      </w:r>
      <w:r w:rsidR="00E55305" w:rsidRPr="00B76924">
        <w:rPr>
          <w:rFonts w:ascii="Times New Roman" w:hAnsi="Times New Roman" w:cs="Times New Roman"/>
          <w:sz w:val="20"/>
        </w:rPr>
        <w:t xml:space="preserve">Central </w:t>
      </w:r>
      <w:r w:rsidRPr="00B76924">
        <w:rPr>
          <w:rFonts w:ascii="Times New Roman" w:hAnsi="Times New Roman" w:cs="Times New Roman"/>
          <w:sz w:val="20"/>
        </w:rPr>
        <w:t xml:space="preserve">nucleus of the </w:t>
      </w:r>
      <w:r w:rsidR="00E55305" w:rsidRPr="00B76924">
        <w:rPr>
          <w:rFonts w:ascii="Times New Roman" w:hAnsi="Times New Roman" w:cs="Times New Roman"/>
          <w:sz w:val="20"/>
        </w:rPr>
        <w:t xml:space="preserve">Amygdala </w:t>
      </w:r>
      <w:r w:rsidRPr="00B76924">
        <w:rPr>
          <w:rFonts w:ascii="Times New Roman" w:hAnsi="Times New Roman" w:cs="Times New Roman"/>
          <w:sz w:val="20"/>
        </w:rPr>
        <w:t>(</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in evoking cataplexy, but since the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is the output nucleus of the amygdala, we focused the </w:t>
      </w:r>
      <w:proofErr w:type="spellStart"/>
      <w:r w:rsidRPr="00B76924">
        <w:rPr>
          <w:rFonts w:ascii="Times New Roman" w:hAnsi="Times New Roman" w:cs="Times New Roman"/>
          <w:sz w:val="20"/>
        </w:rPr>
        <w:t>Baso</w:t>
      </w:r>
      <w:proofErr w:type="spellEnd"/>
      <w:r w:rsidR="00E55305">
        <w:rPr>
          <w:rFonts w:ascii="Times New Roman" w:hAnsi="Times New Roman" w:cs="Times New Roman"/>
          <w:sz w:val="20"/>
        </w:rPr>
        <w:t xml:space="preserve"> </w:t>
      </w:r>
      <w:r w:rsidR="00E55305" w:rsidRPr="00B76924">
        <w:rPr>
          <w:rFonts w:ascii="Times New Roman" w:hAnsi="Times New Roman" w:cs="Times New Roman"/>
          <w:sz w:val="20"/>
        </w:rPr>
        <w:t xml:space="preserve">Lateral </w:t>
      </w:r>
      <w:r w:rsidRPr="00B76924">
        <w:rPr>
          <w:rFonts w:ascii="Times New Roman" w:hAnsi="Times New Roman" w:cs="Times New Roman"/>
          <w:sz w:val="20"/>
        </w:rPr>
        <w:t xml:space="preserve">Amygdala (BLA), since BLA to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circuit plays an important role in appetitive behaviors. Using fiber photometry with a genetic DA sensor (GRABDA), we found that each cataplexy attack seen in narcoleptic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mice was always preceded by a transient increase of DA level in the </w:t>
      </w:r>
      <w:proofErr w:type="spellStart"/>
      <w:r w:rsidRPr="00B76924">
        <w:rPr>
          <w:rFonts w:ascii="Times New Roman" w:hAnsi="Times New Roman" w:cs="Times New Roman"/>
          <w:sz w:val="20"/>
        </w:rPr>
        <w:t>Baso</w:t>
      </w:r>
      <w:proofErr w:type="spellEnd"/>
      <w:r w:rsidR="00E55305">
        <w:rPr>
          <w:rFonts w:ascii="Times New Roman" w:hAnsi="Times New Roman" w:cs="Times New Roman"/>
          <w:sz w:val="20"/>
        </w:rPr>
        <w:t xml:space="preserve"> </w:t>
      </w:r>
      <w:r w:rsidR="00E55305" w:rsidRPr="00B76924">
        <w:rPr>
          <w:rFonts w:ascii="Times New Roman" w:hAnsi="Times New Roman" w:cs="Times New Roman"/>
          <w:sz w:val="20"/>
        </w:rPr>
        <w:t xml:space="preserve">Lateral </w:t>
      </w:r>
      <w:r w:rsidRPr="00B76924">
        <w:rPr>
          <w:rFonts w:ascii="Times New Roman" w:hAnsi="Times New Roman" w:cs="Times New Roman"/>
          <w:sz w:val="20"/>
        </w:rPr>
        <w:t xml:space="preserve">Amygdala (BLA). Mimicking the DA increase in the BLA by </w:t>
      </w:r>
      <w:proofErr w:type="spellStart"/>
      <w:r w:rsidRPr="00B76924">
        <w:rPr>
          <w:rFonts w:ascii="Times New Roman" w:hAnsi="Times New Roman" w:cs="Times New Roman"/>
          <w:sz w:val="20"/>
        </w:rPr>
        <w:t>optogenetic</w:t>
      </w:r>
      <w:proofErr w:type="spellEnd"/>
      <w:r w:rsidRPr="00B76924">
        <w:rPr>
          <w:rFonts w:ascii="Times New Roman" w:hAnsi="Times New Roman" w:cs="Times New Roman"/>
          <w:sz w:val="20"/>
        </w:rPr>
        <w:t xml:space="preserve"> manipulation induced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with behavioral arrests </w:t>
      </w:r>
      <w:r w:rsidRPr="00B76924">
        <w:rPr>
          <w:rFonts w:ascii="Times New Roman" w:hAnsi="Times New Roman" w:cs="Times New Roman"/>
          <w:sz w:val="20"/>
        </w:rPr>
        <w:lastRenderedPageBreak/>
        <w:t xml:space="preserve">in wild type mice, which was similar to cataplexy. We found that inhibition of </w:t>
      </w:r>
      <w:r>
        <w:rPr>
          <w:rFonts w:ascii="Times New Roman" w:hAnsi="Times New Roman" w:cs="Times New Roman"/>
          <w:sz w:val="20"/>
        </w:rPr>
        <w:t>D</w:t>
      </w:r>
      <w:r w:rsidRPr="00B76924">
        <w:rPr>
          <w:rFonts w:ascii="Times New Roman" w:hAnsi="Times New Roman" w:cs="Times New Roman"/>
          <w:sz w:val="20"/>
        </w:rPr>
        <w:t xml:space="preserve">opamine D2 </w:t>
      </w:r>
      <w:r>
        <w:rPr>
          <w:rFonts w:ascii="Times New Roman" w:hAnsi="Times New Roman" w:cs="Times New Roman"/>
          <w:sz w:val="20"/>
        </w:rPr>
        <w:t xml:space="preserve">Receptor (DRD2) </w:t>
      </w:r>
      <w:r w:rsidRPr="00B76924">
        <w:rPr>
          <w:rFonts w:ascii="Times New Roman" w:hAnsi="Times New Roman" w:cs="Times New Roman"/>
          <w:sz w:val="20"/>
        </w:rPr>
        <w:t>expressing cells in the BLA by expressing Tetanus Toxin Light Chain (</w:t>
      </w:r>
      <w:proofErr w:type="spellStart"/>
      <w:r w:rsidRPr="00B76924">
        <w:rPr>
          <w:rFonts w:ascii="Times New Roman" w:hAnsi="Times New Roman" w:cs="Times New Roman"/>
          <w:sz w:val="20"/>
        </w:rPr>
        <w:t>TeTxLC</w:t>
      </w:r>
      <w:proofErr w:type="spellEnd"/>
      <w:r w:rsidRPr="00B76924">
        <w:rPr>
          <w:rFonts w:ascii="Times New Roman" w:hAnsi="Times New Roman" w:cs="Times New Roman"/>
          <w:sz w:val="20"/>
        </w:rPr>
        <w:t xml:space="preserve">) decreased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-triggered cataplexy-like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as well as cataplexy in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mice.</w:t>
      </w:r>
    </w:p>
    <w:p w:rsid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Chronic inhibition of DRD2-expressing cells in the BLA also decreased theta frequency of Local Field Potential (LFP) in the amygdala, impaired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REM sleep and inhibited cataplexy. These results suggest that DA signaling in the BLA plays a critical role in cataplexy as well as physiological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REM sleep.</w:t>
      </w:r>
    </w:p>
    <w:p w:rsidR="00B76924" w:rsidRDefault="00B76924" w:rsidP="00D205C8">
      <w:pPr>
        <w:rPr>
          <w:rFonts w:ascii="Times New Roman" w:hAnsi="Times New Roman" w:cs="Times New Roman"/>
          <w:b/>
          <w:sz w:val="24"/>
        </w:rPr>
      </w:pPr>
      <w:r w:rsidRPr="00B76924">
        <w:rPr>
          <w:rFonts w:ascii="Times New Roman" w:hAnsi="Times New Roman" w:cs="Times New Roman"/>
          <w:b/>
          <w:sz w:val="24"/>
        </w:rPr>
        <w:t>Biography</w:t>
      </w:r>
    </w:p>
    <w:p w:rsidR="00D205C8" w:rsidRPr="00E55305" w:rsidRDefault="005851AA" w:rsidP="00D205C8">
      <w:pPr>
        <w:jc w:val="both"/>
        <w:rPr>
          <w:rFonts w:ascii="Times New Roman" w:hAnsi="Times New Roman" w:cs="Times New Roman"/>
          <w:b/>
          <w:sz w:val="20"/>
          <w:szCs w:val="20"/>
        </w:rPr>
      </w:pPr>
      <w:r w:rsidRPr="00E55305">
        <w:rPr>
          <w:rFonts w:ascii="Times New Roman" w:hAnsi="Times New Roman" w:cs="Times New Roman"/>
          <w:sz w:val="20"/>
          <w:szCs w:val="20"/>
        </w:rPr>
        <w:t xml:space="preserve">Emi Hasegawa is an </w:t>
      </w:r>
      <w:r w:rsidR="00D205C8" w:rsidRPr="00E55305">
        <w:rPr>
          <w:rFonts w:ascii="Times New Roman" w:hAnsi="Times New Roman" w:cs="Times New Roman"/>
          <w:sz w:val="20"/>
          <w:szCs w:val="20"/>
        </w:rPr>
        <w:t>Assistant Professor Faculty of Medicine, University of Tsukuba (Tsukuba, Ibaraki) 2020–present International Institute for Integrative Sleep Medicine, University of Tsukuba (Tsukuba, Ibaraki) 2016–present Department of Integrative Neurophysiology, Kanazawa University (Kanazawa, Ishikawa) 2015–2016 Research Fellowship Department of Integrative Neurophysiology, Kanazawa University (Kanazawa, Ishikawa) 2015–2015.</w:t>
      </w:r>
      <w:bookmarkEnd w:id="0"/>
    </w:p>
    <w:sectPr w:rsidR="00D205C8" w:rsidRPr="00E553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924"/>
    <w:rsid w:val="005851AA"/>
    <w:rsid w:val="00673C0F"/>
    <w:rsid w:val="00B76924"/>
    <w:rsid w:val="00BF0F2E"/>
    <w:rsid w:val="00D205C8"/>
    <w:rsid w:val="00E553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76924"/>
    <w:rPr>
      <w:sz w:val="16"/>
      <w:szCs w:val="16"/>
    </w:rPr>
  </w:style>
  <w:style w:type="paragraph" w:styleId="CommentText">
    <w:name w:val="annotation text"/>
    <w:basedOn w:val="Normal"/>
    <w:link w:val="CommentTextChar"/>
    <w:uiPriority w:val="99"/>
    <w:semiHidden/>
    <w:unhideWhenUsed/>
    <w:rsid w:val="00B76924"/>
    <w:pPr>
      <w:spacing w:line="240" w:lineRule="auto"/>
    </w:pPr>
    <w:rPr>
      <w:sz w:val="20"/>
      <w:szCs w:val="20"/>
    </w:rPr>
  </w:style>
  <w:style w:type="character" w:customStyle="1" w:styleId="CommentTextChar">
    <w:name w:val="Comment Text Char"/>
    <w:basedOn w:val="DefaultParagraphFont"/>
    <w:link w:val="CommentText"/>
    <w:uiPriority w:val="99"/>
    <w:semiHidden/>
    <w:rsid w:val="00B76924"/>
    <w:rPr>
      <w:sz w:val="20"/>
      <w:szCs w:val="20"/>
    </w:rPr>
  </w:style>
  <w:style w:type="paragraph" w:styleId="CommentSubject">
    <w:name w:val="annotation subject"/>
    <w:basedOn w:val="CommentText"/>
    <w:next w:val="CommentText"/>
    <w:link w:val="CommentSubjectChar"/>
    <w:uiPriority w:val="99"/>
    <w:semiHidden/>
    <w:unhideWhenUsed/>
    <w:rsid w:val="00B76924"/>
    <w:rPr>
      <w:b/>
      <w:bCs/>
    </w:rPr>
  </w:style>
  <w:style w:type="character" w:customStyle="1" w:styleId="CommentSubjectChar">
    <w:name w:val="Comment Subject Char"/>
    <w:basedOn w:val="CommentTextChar"/>
    <w:link w:val="CommentSubject"/>
    <w:uiPriority w:val="99"/>
    <w:semiHidden/>
    <w:rsid w:val="00B76924"/>
    <w:rPr>
      <w:b/>
      <w:bCs/>
      <w:sz w:val="20"/>
      <w:szCs w:val="20"/>
    </w:rPr>
  </w:style>
  <w:style w:type="paragraph" w:styleId="BalloonText">
    <w:name w:val="Balloon Text"/>
    <w:basedOn w:val="Normal"/>
    <w:link w:val="BalloonTextChar"/>
    <w:uiPriority w:val="99"/>
    <w:semiHidden/>
    <w:unhideWhenUsed/>
    <w:rsid w:val="00B76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9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76924"/>
    <w:rPr>
      <w:sz w:val="16"/>
      <w:szCs w:val="16"/>
    </w:rPr>
  </w:style>
  <w:style w:type="paragraph" w:styleId="CommentText">
    <w:name w:val="annotation text"/>
    <w:basedOn w:val="Normal"/>
    <w:link w:val="CommentTextChar"/>
    <w:uiPriority w:val="99"/>
    <w:semiHidden/>
    <w:unhideWhenUsed/>
    <w:rsid w:val="00B76924"/>
    <w:pPr>
      <w:spacing w:line="240" w:lineRule="auto"/>
    </w:pPr>
    <w:rPr>
      <w:sz w:val="20"/>
      <w:szCs w:val="20"/>
    </w:rPr>
  </w:style>
  <w:style w:type="character" w:customStyle="1" w:styleId="CommentTextChar">
    <w:name w:val="Comment Text Char"/>
    <w:basedOn w:val="DefaultParagraphFont"/>
    <w:link w:val="CommentText"/>
    <w:uiPriority w:val="99"/>
    <w:semiHidden/>
    <w:rsid w:val="00B76924"/>
    <w:rPr>
      <w:sz w:val="20"/>
      <w:szCs w:val="20"/>
    </w:rPr>
  </w:style>
  <w:style w:type="paragraph" w:styleId="CommentSubject">
    <w:name w:val="annotation subject"/>
    <w:basedOn w:val="CommentText"/>
    <w:next w:val="CommentText"/>
    <w:link w:val="CommentSubjectChar"/>
    <w:uiPriority w:val="99"/>
    <w:semiHidden/>
    <w:unhideWhenUsed/>
    <w:rsid w:val="00B76924"/>
    <w:rPr>
      <w:b/>
      <w:bCs/>
    </w:rPr>
  </w:style>
  <w:style w:type="character" w:customStyle="1" w:styleId="CommentSubjectChar">
    <w:name w:val="Comment Subject Char"/>
    <w:basedOn w:val="CommentTextChar"/>
    <w:link w:val="CommentSubject"/>
    <w:uiPriority w:val="99"/>
    <w:semiHidden/>
    <w:rsid w:val="00B76924"/>
    <w:rPr>
      <w:b/>
      <w:bCs/>
      <w:sz w:val="20"/>
      <w:szCs w:val="20"/>
    </w:rPr>
  </w:style>
  <w:style w:type="paragraph" w:styleId="BalloonText">
    <w:name w:val="Balloon Text"/>
    <w:basedOn w:val="Normal"/>
    <w:link w:val="BalloonTextChar"/>
    <w:uiPriority w:val="99"/>
    <w:semiHidden/>
    <w:unhideWhenUsed/>
    <w:rsid w:val="00B76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9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2022-06-23T10:27:00Z</dcterms:created>
  <dcterms:modified xsi:type="dcterms:W3CDTF">2022-11-14T07:00:00Z</dcterms:modified>
</cp:coreProperties>
</file>