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7B7C" w:rsidRPr="001B5CE7" w:rsidRDefault="00D47B7C" w:rsidP="001B5CE7">
      <w:pPr>
        <w:spacing w:after="200" w:line="276" w:lineRule="auto"/>
        <w:rPr>
          <w:b/>
          <w:sz w:val="32"/>
        </w:rPr>
      </w:pPr>
      <w:r w:rsidRPr="001B5CE7">
        <w:rPr>
          <w:b/>
          <w:sz w:val="32"/>
        </w:rPr>
        <w:t>Conjunctival autograft with fibrin glue for pterygium: Strategies to optimize your outcome</w:t>
      </w:r>
    </w:p>
    <w:p w:rsidR="00D47B7C" w:rsidRPr="001B5CE7" w:rsidRDefault="00D47B7C" w:rsidP="001B5CE7">
      <w:pPr>
        <w:spacing w:after="200" w:line="276" w:lineRule="auto"/>
      </w:pPr>
      <w:r w:rsidRPr="001B5CE7">
        <w:t>Sameena Anjum Sheriff</w:t>
      </w:r>
    </w:p>
    <w:p w:rsidR="00D47B7C" w:rsidRPr="001B5CE7" w:rsidRDefault="001B5CE7" w:rsidP="001B5CE7">
      <w:pPr>
        <w:spacing w:after="200" w:line="276" w:lineRule="auto"/>
        <w:rPr>
          <w:sz w:val="22"/>
        </w:rPr>
      </w:pPr>
      <w:r w:rsidRPr="001B5CE7">
        <w:rPr>
          <w:sz w:val="22"/>
        </w:rPr>
        <w:t>Burjeel Day Surgery Center</w:t>
      </w:r>
      <w:r w:rsidR="00D47B7C" w:rsidRPr="001B5CE7">
        <w:rPr>
          <w:sz w:val="22"/>
        </w:rPr>
        <w:t>,</w:t>
      </w:r>
      <w:r w:rsidR="00533060">
        <w:rPr>
          <w:sz w:val="22"/>
        </w:rPr>
        <w:t xml:space="preserve"> </w:t>
      </w:r>
      <w:r w:rsidR="00D47B7C" w:rsidRPr="001B5CE7">
        <w:rPr>
          <w:sz w:val="22"/>
        </w:rPr>
        <w:t xml:space="preserve">UAE </w:t>
      </w:r>
    </w:p>
    <w:p w:rsidR="00D47B7C" w:rsidRPr="001B5CE7" w:rsidRDefault="001B5CE7" w:rsidP="001B5CE7">
      <w:pPr>
        <w:spacing w:after="200" w:line="276" w:lineRule="auto"/>
        <w:jc w:val="center"/>
        <w:rPr>
          <w:b/>
        </w:rPr>
      </w:pPr>
      <w:bookmarkStart w:id="0" w:name="_GoBack"/>
      <w:bookmarkEnd w:id="0"/>
      <w:r w:rsidRPr="001B5CE7">
        <w:rPr>
          <w:b/>
        </w:rPr>
        <w:t>Abstract</w:t>
      </w:r>
    </w:p>
    <w:p w:rsidR="00D47B7C" w:rsidRPr="001B5CE7" w:rsidRDefault="00D47B7C" w:rsidP="001B5CE7">
      <w:pPr>
        <w:spacing w:after="200" w:line="276" w:lineRule="auto"/>
        <w:jc w:val="both"/>
        <w:rPr>
          <w:sz w:val="20"/>
        </w:rPr>
      </w:pPr>
      <w:r w:rsidRPr="001B5CE7">
        <w:rPr>
          <w:b/>
          <w:sz w:val="20"/>
        </w:rPr>
        <w:t>Introduction:</w:t>
      </w:r>
      <w:r w:rsidR="001B5CE7" w:rsidRPr="001B5CE7">
        <w:rPr>
          <w:sz w:val="20"/>
        </w:rPr>
        <w:t xml:space="preserve"> </w:t>
      </w:r>
      <w:r w:rsidRPr="001B5CE7">
        <w:rPr>
          <w:sz w:val="20"/>
        </w:rPr>
        <w:t>With the increasing demand for recurrence free pterygium surgery globally, Conjunctival autograft with fibrin glue have become the preferred choice of pterygium excision method for surgeons which not only minimizes recurrence rate but also surgical time and postoperative pain. However, the procedure comes with its own set of challenges; Expensive glue, Meticulous graft preparation, Possible transmission of blood borne diseases, Graft dehiscence, Anaphylaxis, Conjunctival granuloma etc. resulting in poor surgical outcome and patient dissatisfaction.</w:t>
      </w:r>
    </w:p>
    <w:p w:rsidR="00D47B7C" w:rsidRPr="001B5CE7" w:rsidRDefault="00D47B7C" w:rsidP="001B5CE7">
      <w:pPr>
        <w:spacing w:after="200" w:line="276" w:lineRule="auto"/>
        <w:jc w:val="both"/>
        <w:rPr>
          <w:sz w:val="20"/>
        </w:rPr>
      </w:pPr>
      <w:r w:rsidRPr="001B5CE7">
        <w:rPr>
          <w:b/>
          <w:sz w:val="20"/>
        </w:rPr>
        <w:t>Methods:</w:t>
      </w:r>
      <w:r w:rsidR="001B5CE7" w:rsidRPr="001B5CE7">
        <w:rPr>
          <w:sz w:val="20"/>
        </w:rPr>
        <w:t xml:space="preserve"> </w:t>
      </w:r>
      <w:r w:rsidRPr="001B5CE7">
        <w:rPr>
          <w:sz w:val="20"/>
        </w:rPr>
        <w:t xml:space="preserve">We reviewed existing literature to identify the challenges associated with patient selection, preoperative evaluation, Intraoperative care and postoperative management measures to optimize the outcome. </w:t>
      </w:r>
    </w:p>
    <w:p w:rsidR="00D47B7C" w:rsidRPr="001B5CE7" w:rsidRDefault="00D47B7C" w:rsidP="001B5CE7">
      <w:pPr>
        <w:spacing w:after="200" w:line="276" w:lineRule="auto"/>
        <w:jc w:val="both"/>
        <w:rPr>
          <w:sz w:val="20"/>
        </w:rPr>
      </w:pPr>
      <w:r w:rsidRPr="001B5CE7">
        <w:rPr>
          <w:b/>
          <w:sz w:val="20"/>
        </w:rPr>
        <w:t>Results:</w:t>
      </w:r>
      <w:r w:rsidRPr="001B5CE7">
        <w:rPr>
          <w:sz w:val="20"/>
        </w:rPr>
        <w:t xml:space="preserve"> We present a brief overview of conjunctival autograft technique with fibrin glue, Intraoperative steps to achieve a perfect graft, Newer treatment options for the management of postoperative complications along with comparative results of other popular pterygium surgeries. </w:t>
      </w:r>
    </w:p>
    <w:p w:rsidR="00D47B7C" w:rsidRPr="001B5CE7" w:rsidRDefault="00D47B7C" w:rsidP="001B5CE7">
      <w:pPr>
        <w:spacing w:after="200" w:line="276" w:lineRule="auto"/>
        <w:jc w:val="both"/>
        <w:rPr>
          <w:sz w:val="20"/>
        </w:rPr>
      </w:pPr>
      <w:r w:rsidRPr="001B5CE7">
        <w:rPr>
          <w:b/>
          <w:sz w:val="20"/>
        </w:rPr>
        <w:t>Conclusion:</w:t>
      </w:r>
      <w:r w:rsidR="001B5CE7" w:rsidRPr="001B5CE7">
        <w:rPr>
          <w:sz w:val="20"/>
        </w:rPr>
        <w:t xml:space="preserve"> </w:t>
      </w:r>
      <w:r w:rsidRPr="001B5CE7">
        <w:rPr>
          <w:sz w:val="20"/>
        </w:rPr>
        <w:t>Carefully planned and executed Pterygium e surgery with fibrin glue fixed conjunctival autograft can greatly optimize the surgical outcome and reduce patient dissatisfaction.</w:t>
      </w:r>
    </w:p>
    <w:p w:rsidR="00D47B7C" w:rsidRPr="001B5CE7" w:rsidRDefault="001B5CE7" w:rsidP="001B5CE7">
      <w:pPr>
        <w:spacing w:after="200" w:line="276" w:lineRule="auto"/>
        <w:jc w:val="both"/>
        <w:rPr>
          <w:sz w:val="20"/>
        </w:rPr>
      </w:pPr>
      <w:r w:rsidRPr="001B5CE7">
        <w:rPr>
          <w:b/>
          <w:sz w:val="20"/>
        </w:rPr>
        <w:t>Keywords:</w:t>
      </w:r>
      <w:r w:rsidRPr="001B5CE7">
        <w:rPr>
          <w:sz w:val="20"/>
        </w:rPr>
        <w:t xml:space="preserve"> </w:t>
      </w:r>
      <w:r w:rsidR="00D47B7C" w:rsidRPr="001B5CE7">
        <w:rPr>
          <w:sz w:val="20"/>
        </w:rPr>
        <w:t>Pterygium surgery, Conjunctival autograft, Fibrin glue.</w:t>
      </w:r>
    </w:p>
    <w:p w:rsidR="00D47B7C" w:rsidRPr="001B5CE7" w:rsidRDefault="00D47B7C" w:rsidP="001B5CE7">
      <w:pPr>
        <w:spacing w:after="200" w:line="276" w:lineRule="auto"/>
        <w:rPr>
          <w:b/>
        </w:rPr>
      </w:pPr>
      <w:r w:rsidRPr="001B5CE7">
        <w:rPr>
          <w:b/>
        </w:rPr>
        <w:t>Biography</w:t>
      </w:r>
    </w:p>
    <w:p w:rsidR="00401B2F" w:rsidRPr="001B5CE7" w:rsidRDefault="00D47B7C" w:rsidP="001B5CE7">
      <w:pPr>
        <w:spacing w:after="200" w:line="276" w:lineRule="auto"/>
        <w:jc w:val="both"/>
      </w:pPr>
      <w:r w:rsidRPr="001B5CE7">
        <w:rPr>
          <w:sz w:val="20"/>
        </w:rPr>
        <w:t>Sameena Sheriff is a Cornea, Cataract &amp; Refractive Surgeon. She is a Fellow of the Royal College of Surgeons, Glasgow, UK. She has done her masters in ophthalmology from M.S.Ramaih Medical College, Bangalore and was awarded gold medal as the best outgoing postgraduate student.</w:t>
      </w:r>
      <w:r w:rsidR="00533060">
        <w:rPr>
          <w:sz w:val="20"/>
        </w:rPr>
        <w:t xml:space="preserve"> </w:t>
      </w:r>
      <w:r w:rsidR="001B5CE7">
        <w:rPr>
          <w:sz w:val="20"/>
        </w:rPr>
        <w:t>She</w:t>
      </w:r>
      <w:r w:rsidRPr="001B5CE7">
        <w:rPr>
          <w:sz w:val="20"/>
        </w:rPr>
        <w:t xml:space="preserve"> has been practicing ophthalmology for more than 12+</w:t>
      </w:r>
      <w:r w:rsidR="001B5CE7">
        <w:rPr>
          <w:sz w:val="20"/>
        </w:rPr>
        <w:t xml:space="preserve"> </w:t>
      </w:r>
      <w:r w:rsidRPr="001B5CE7">
        <w:rPr>
          <w:sz w:val="20"/>
        </w:rPr>
        <w:t>yrs. She has extensive experience in the field of Cornea, Advanced cataract surgery and Refractive procedures. She also has vast experience managing ocular trauma and has performed many Anterior segment repair surgeries.</w:t>
      </w:r>
      <w:r w:rsidR="00533060">
        <w:rPr>
          <w:sz w:val="20"/>
        </w:rPr>
        <w:t xml:space="preserve"> </w:t>
      </w:r>
      <w:r w:rsidRPr="001B5CE7">
        <w:rPr>
          <w:sz w:val="20"/>
        </w:rPr>
        <w:t>She is an avid academician and has presented scientific papers and posters at national and international ophthalmic meetings.</w:t>
      </w:r>
      <w:r w:rsidR="00533060">
        <w:rPr>
          <w:sz w:val="20"/>
        </w:rPr>
        <w:t xml:space="preserve"> </w:t>
      </w:r>
      <w:r w:rsidRPr="001B5CE7">
        <w:rPr>
          <w:sz w:val="20"/>
        </w:rPr>
        <w:t>Her areas of interest are corneal surface disorders, multifocal and toric IOLS, keratoconus, wavefront optics, pterygium, and excimer laser ablation.</w:t>
      </w:r>
    </w:p>
    <w:sectPr w:rsidR="00401B2F" w:rsidRPr="001B5CE7" w:rsidSect="00BE0AD8">
      <w:headerReference w:type="even" r:id="rId8"/>
      <w:headerReference w:type="default" r:id="rId9"/>
      <w:footerReference w:type="even" r:id="rId10"/>
      <w:footerReference w:type="default" r:id="rId11"/>
      <w:headerReference w:type="first" r:id="rId12"/>
      <w:footerReference w:type="first" r:id="rId13"/>
      <w:pgSz w:w="11906" w:h="16838"/>
      <w:pgMar w:top="851" w:right="99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16C4" w:rsidRDefault="009016C4">
      <w:r>
        <w:separator/>
      </w:r>
    </w:p>
  </w:endnote>
  <w:endnote w:type="continuationSeparator" w:id="0">
    <w:p w:rsidR="009016C4" w:rsidRDefault="009016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utami">
    <w:panose1 w:val="020005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9016C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9016C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9016C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16C4" w:rsidRDefault="009016C4">
      <w:r>
        <w:separator/>
      </w:r>
    </w:p>
  </w:footnote>
  <w:footnote w:type="continuationSeparator" w:id="0">
    <w:p w:rsidR="009016C4" w:rsidRDefault="009016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9016C4">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9016C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9016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7B7C"/>
    <w:rsid w:val="001B5CE7"/>
    <w:rsid w:val="00330486"/>
    <w:rsid w:val="00533060"/>
    <w:rsid w:val="009016C4"/>
    <w:rsid w:val="00D47B7C"/>
    <w:rsid w:val="00F2467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B7C"/>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D47B7C"/>
    <w:pPr>
      <w:suppressAutoHyphens/>
      <w:jc w:val="center"/>
    </w:pPr>
    <w:rPr>
      <w:rFonts w:cs="Gautami"/>
      <w:lang w:val="x-none" w:eastAsia="x-none" w:bidi="te-IN"/>
    </w:rPr>
  </w:style>
  <w:style w:type="character" w:customStyle="1" w:styleId="BodyTextChar">
    <w:name w:val="Body Text Char"/>
    <w:basedOn w:val="DefaultParagraphFont"/>
    <w:link w:val="BodyText"/>
    <w:uiPriority w:val="99"/>
    <w:rsid w:val="00D47B7C"/>
    <w:rPr>
      <w:rFonts w:ascii="Times New Roman" w:eastAsia="Times New Roman" w:hAnsi="Times New Roman" w:cs="Gautami"/>
      <w:sz w:val="24"/>
      <w:szCs w:val="24"/>
      <w:lang w:val="x-none" w:eastAsia="x-none" w:bidi="te-IN"/>
    </w:rPr>
  </w:style>
  <w:style w:type="paragraph" w:styleId="Header">
    <w:name w:val="header"/>
    <w:basedOn w:val="Normal"/>
    <w:link w:val="HeaderChar"/>
    <w:uiPriority w:val="99"/>
    <w:unhideWhenUsed/>
    <w:rsid w:val="00D47B7C"/>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D47B7C"/>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D47B7C"/>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D47B7C"/>
    <w:rPr>
      <w:rFonts w:ascii="Times New Roman" w:eastAsia="Times New Roman" w:hAnsi="Times New Roman" w:cs="Gautami"/>
      <w:sz w:val="24"/>
      <w:szCs w:val="24"/>
      <w:lang w:val="x-none" w:eastAsia="x-none" w:bidi="te-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B7C"/>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D47B7C"/>
    <w:pPr>
      <w:suppressAutoHyphens/>
      <w:jc w:val="center"/>
    </w:pPr>
    <w:rPr>
      <w:rFonts w:cs="Gautami"/>
      <w:lang w:val="x-none" w:eastAsia="x-none" w:bidi="te-IN"/>
    </w:rPr>
  </w:style>
  <w:style w:type="character" w:customStyle="1" w:styleId="BodyTextChar">
    <w:name w:val="Body Text Char"/>
    <w:basedOn w:val="DefaultParagraphFont"/>
    <w:link w:val="BodyText"/>
    <w:uiPriority w:val="99"/>
    <w:rsid w:val="00D47B7C"/>
    <w:rPr>
      <w:rFonts w:ascii="Times New Roman" w:eastAsia="Times New Roman" w:hAnsi="Times New Roman" w:cs="Gautami"/>
      <w:sz w:val="24"/>
      <w:szCs w:val="24"/>
      <w:lang w:val="x-none" w:eastAsia="x-none" w:bidi="te-IN"/>
    </w:rPr>
  </w:style>
  <w:style w:type="paragraph" w:styleId="Header">
    <w:name w:val="header"/>
    <w:basedOn w:val="Normal"/>
    <w:link w:val="HeaderChar"/>
    <w:uiPriority w:val="99"/>
    <w:unhideWhenUsed/>
    <w:rsid w:val="00D47B7C"/>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D47B7C"/>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D47B7C"/>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D47B7C"/>
    <w:rPr>
      <w:rFonts w:ascii="Times New Roman" w:eastAsia="Times New Roman" w:hAnsi="Times New Roman" w:cs="Gautami"/>
      <w:sz w:val="24"/>
      <w:szCs w:val="24"/>
      <w:lang w:val="x-none" w:eastAsia="x-none"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B94608-AE2F-4EE2-9E79-5420778CE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345</Words>
  <Characters>1969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drug-2021</dc:creator>
  <cp:lastModifiedBy>Swetha Sandala</cp:lastModifiedBy>
  <cp:revision>3</cp:revision>
  <dcterms:created xsi:type="dcterms:W3CDTF">2022-10-11T11:11:00Z</dcterms:created>
  <dcterms:modified xsi:type="dcterms:W3CDTF">2022-10-12T06:19:00Z</dcterms:modified>
</cp:coreProperties>
</file>