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32733">
      <w:pPr>
        <w:rPr>
          <w:rFonts w:ascii="Times New Roman" w:hAnsi="Times New Roman" w:cs="Times New Roman"/>
          <w:b/>
          <w:sz w:val="32"/>
        </w:rPr>
      </w:pPr>
      <w:commentRangeStart w:id="0"/>
      <w:r w:rsidRPr="00032733">
        <w:rPr>
          <w:rFonts w:ascii="Times New Roman" w:hAnsi="Times New Roman" w:cs="Times New Roman"/>
          <w:b/>
          <w:sz w:val="32"/>
        </w:rPr>
        <w:t>Upper arch dimensional changes with clear aligners in the early mixed dentition</w:t>
      </w:r>
      <w:commentRangeEnd w:id="0"/>
      <w:r w:rsidR="008D3D3F">
        <w:rPr>
          <w:rStyle w:val="CommentReference"/>
        </w:rPr>
        <w:commentReference w:id="0"/>
      </w:r>
    </w:p>
    <w:p w:rsidR="00032733" w:rsidRDefault="00032733">
      <w:pPr>
        <w:rPr>
          <w:rFonts w:ascii="Times New Roman" w:hAnsi="Times New Roman" w:cs="Times New Roman"/>
          <w:sz w:val="24"/>
        </w:rPr>
      </w:pPr>
      <w:proofErr w:type="spellStart"/>
      <w:r w:rsidRPr="00032733">
        <w:rPr>
          <w:rFonts w:ascii="Times New Roman" w:hAnsi="Times New Roman" w:cs="Times New Roman"/>
          <w:sz w:val="24"/>
        </w:rPr>
        <w:t>Lione</w:t>
      </w:r>
      <w:proofErr w:type="spellEnd"/>
      <w:r w:rsidRPr="00032733">
        <w:rPr>
          <w:rFonts w:ascii="Times New Roman" w:hAnsi="Times New Roman" w:cs="Times New Roman"/>
          <w:sz w:val="24"/>
        </w:rPr>
        <w:t xml:space="preserve"> R</w:t>
      </w:r>
      <w:r>
        <w:rPr>
          <w:rFonts w:ascii="Times New Roman" w:hAnsi="Times New Roman" w:cs="Times New Roman"/>
          <w:sz w:val="24"/>
        </w:rPr>
        <w:t xml:space="preserve">* and </w:t>
      </w:r>
      <w:proofErr w:type="spellStart"/>
      <w:r w:rsidRPr="00032733">
        <w:rPr>
          <w:rFonts w:ascii="Times New Roman" w:hAnsi="Times New Roman" w:cs="Times New Roman"/>
          <w:sz w:val="24"/>
        </w:rPr>
        <w:t>Cozza</w:t>
      </w:r>
      <w:proofErr w:type="spellEnd"/>
      <w:r w:rsidRPr="00032733">
        <w:rPr>
          <w:rFonts w:ascii="Times New Roman" w:hAnsi="Times New Roman" w:cs="Times New Roman"/>
          <w:sz w:val="24"/>
        </w:rPr>
        <w:t xml:space="preserve"> P</w:t>
      </w:r>
    </w:p>
    <w:p w:rsidR="00032733" w:rsidRPr="00032733" w:rsidRDefault="00032733">
      <w:pPr>
        <w:rPr>
          <w:rFonts w:ascii="Times New Roman" w:hAnsi="Times New Roman" w:cs="Times New Roman"/>
        </w:rPr>
      </w:pPr>
      <w:r w:rsidRPr="00032733">
        <w:rPr>
          <w:rFonts w:ascii="Times New Roman" w:hAnsi="Times New Roman" w:cs="Times New Roman"/>
        </w:rPr>
        <w:t>Saint Camillus International University of Health Sciences, Italy</w:t>
      </w:r>
    </w:p>
    <w:p w:rsidR="00032733" w:rsidRPr="00032733" w:rsidRDefault="00032733" w:rsidP="00032733">
      <w:pPr>
        <w:jc w:val="center"/>
        <w:rPr>
          <w:rFonts w:ascii="Times New Roman" w:hAnsi="Times New Roman" w:cs="Times New Roman"/>
          <w:b/>
          <w:sz w:val="24"/>
        </w:rPr>
      </w:pPr>
      <w:r w:rsidRPr="00032733">
        <w:rPr>
          <w:rFonts w:ascii="Times New Roman" w:hAnsi="Times New Roman" w:cs="Times New Roman"/>
          <w:b/>
          <w:sz w:val="24"/>
        </w:rPr>
        <w:t>Abstract</w:t>
      </w:r>
    </w:p>
    <w:p w:rsidR="00032733" w:rsidRPr="00032733" w:rsidRDefault="00032733" w:rsidP="00032733">
      <w:pPr>
        <w:jc w:val="both"/>
        <w:rPr>
          <w:rFonts w:ascii="Times New Roman" w:hAnsi="Times New Roman" w:cs="Times New Roman"/>
          <w:sz w:val="20"/>
        </w:rPr>
      </w:pPr>
      <w:r w:rsidRPr="00032733">
        <w:rPr>
          <w:rFonts w:ascii="Times New Roman" w:hAnsi="Times New Roman" w:cs="Times New Roman"/>
          <w:b/>
          <w:sz w:val="20"/>
        </w:rPr>
        <w:t>Background</w:t>
      </w:r>
      <w:r w:rsidRPr="00032733">
        <w:rPr>
          <w:rFonts w:ascii="Times New Roman" w:hAnsi="Times New Roman" w:cs="Times New Roman"/>
          <w:b/>
          <w:sz w:val="20"/>
        </w:rPr>
        <w:t>:</w:t>
      </w:r>
      <w:r w:rsidRPr="00032733">
        <w:rPr>
          <w:rFonts w:ascii="Times New Roman" w:hAnsi="Times New Roman" w:cs="Times New Roman"/>
          <w:sz w:val="20"/>
        </w:rPr>
        <w:t xml:space="preserve"> One goal of orthodontic treatment in mixed dentition is to expand the maxillary arch to allow proper tooth alignment and a correction of sa</w:t>
      </w:r>
      <w:bookmarkStart w:id="1" w:name="_GoBack"/>
      <w:bookmarkEnd w:id="1"/>
      <w:r w:rsidRPr="00032733">
        <w:rPr>
          <w:rFonts w:ascii="Times New Roman" w:hAnsi="Times New Roman" w:cs="Times New Roman"/>
          <w:sz w:val="20"/>
        </w:rPr>
        <w:t xml:space="preserve">gittal and vertical malocclusions. However, for most treatment protocols, expected outcome is not really clear to allow for a standardization of phase I orthodontic treatments. This lack of information makes it difficult for clinicians to predict tooth movements, including transverse expansion efficacy with </w:t>
      </w:r>
      <w:proofErr w:type="spellStart"/>
      <w:r w:rsidRPr="00032733">
        <w:rPr>
          <w:rFonts w:ascii="Times New Roman" w:hAnsi="Times New Roman" w:cs="Times New Roman"/>
          <w:sz w:val="20"/>
        </w:rPr>
        <w:t>Invisalign</w:t>
      </w:r>
      <w:proofErr w:type="spellEnd"/>
      <w:r w:rsidRPr="00032733">
        <w:rPr>
          <w:rFonts w:ascii="Times New Roman" w:hAnsi="Times New Roman" w:cs="Times New Roman"/>
          <w:sz w:val="20"/>
        </w:rPr>
        <w:t xml:space="preserve">® (Align Technology, Santa Clara, CA, USA) in children. Therefore, the aim of the present study was to evaluate the transverse maxillary arch development with the </w:t>
      </w:r>
      <w:proofErr w:type="spellStart"/>
      <w:r w:rsidRPr="00032733">
        <w:rPr>
          <w:rFonts w:ascii="Times New Roman" w:hAnsi="Times New Roman" w:cs="Times New Roman"/>
          <w:sz w:val="20"/>
        </w:rPr>
        <w:t>Invisalign</w:t>
      </w:r>
      <w:proofErr w:type="spellEnd"/>
      <w:r w:rsidRPr="00032733">
        <w:rPr>
          <w:rFonts w:ascii="Times New Roman" w:hAnsi="Times New Roman" w:cs="Times New Roman"/>
          <w:sz w:val="20"/>
        </w:rPr>
        <w:t xml:space="preserve"> First System® in growing subjects.</w:t>
      </w:r>
    </w:p>
    <w:p w:rsidR="00032733" w:rsidRPr="00032733" w:rsidRDefault="00032733" w:rsidP="00032733">
      <w:pPr>
        <w:jc w:val="both"/>
        <w:rPr>
          <w:rFonts w:ascii="Times New Roman" w:hAnsi="Times New Roman" w:cs="Times New Roman"/>
          <w:sz w:val="20"/>
        </w:rPr>
      </w:pPr>
      <w:r w:rsidRPr="00032733">
        <w:rPr>
          <w:rFonts w:ascii="Times New Roman" w:hAnsi="Times New Roman" w:cs="Times New Roman"/>
          <w:b/>
          <w:sz w:val="20"/>
        </w:rPr>
        <w:t>Methods</w:t>
      </w:r>
      <w:r w:rsidRPr="00032733">
        <w:rPr>
          <w:rFonts w:ascii="Times New Roman" w:hAnsi="Times New Roman" w:cs="Times New Roman"/>
          <w:b/>
          <w:sz w:val="20"/>
        </w:rPr>
        <w:t>:</w:t>
      </w:r>
      <w:r w:rsidRPr="00032733">
        <w:rPr>
          <w:rFonts w:ascii="Times New Roman" w:hAnsi="Times New Roman" w:cs="Times New Roman"/>
          <w:sz w:val="20"/>
        </w:rPr>
        <w:t xml:space="preserve"> The study group included 23 subjects (9 females, 14 males, mean age 9.4</w:t>
      </w:r>
      <w:r>
        <w:rPr>
          <w:rFonts w:ascii="Times New Roman" w:hAnsi="Times New Roman" w:cs="Times New Roman"/>
          <w:sz w:val="20"/>
        </w:rPr>
        <w:t xml:space="preserve"> </w:t>
      </w:r>
      <w:r w:rsidRPr="00032733">
        <w:rPr>
          <w:rFonts w:ascii="Times New Roman" w:hAnsi="Times New Roman" w:cs="Times New Roman"/>
          <w:sz w:val="20"/>
        </w:rPr>
        <w:t>±</w:t>
      </w:r>
      <w:r>
        <w:rPr>
          <w:rFonts w:ascii="Times New Roman" w:hAnsi="Times New Roman" w:cs="Times New Roman"/>
          <w:sz w:val="20"/>
        </w:rPr>
        <w:t xml:space="preserve"> </w:t>
      </w:r>
      <w:r w:rsidRPr="00032733">
        <w:rPr>
          <w:rFonts w:ascii="Times New Roman" w:hAnsi="Times New Roman" w:cs="Times New Roman"/>
          <w:sz w:val="20"/>
        </w:rPr>
        <w:t xml:space="preserve">1.2 years). Patients were treated </w:t>
      </w:r>
      <w:proofErr w:type="spellStart"/>
      <w:r w:rsidRPr="00032733">
        <w:rPr>
          <w:rFonts w:ascii="Times New Roman" w:hAnsi="Times New Roman" w:cs="Times New Roman"/>
          <w:sz w:val="20"/>
        </w:rPr>
        <w:t>nonextraction</w:t>
      </w:r>
      <w:proofErr w:type="spellEnd"/>
      <w:r w:rsidRPr="00032733">
        <w:rPr>
          <w:rFonts w:ascii="Times New Roman" w:hAnsi="Times New Roman" w:cs="Times New Roman"/>
          <w:sz w:val="20"/>
        </w:rPr>
        <w:t xml:space="preserve"> with </w:t>
      </w:r>
      <w:proofErr w:type="spellStart"/>
      <w:r w:rsidRPr="00032733">
        <w:rPr>
          <w:rFonts w:ascii="Times New Roman" w:hAnsi="Times New Roman" w:cs="Times New Roman"/>
          <w:sz w:val="20"/>
        </w:rPr>
        <w:t>Invisalign</w:t>
      </w:r>
      <w:proofErr w:type="spellEnd"/>
      <w:r w:rsidRPr="00032733">
        <w:rPr>
          <w:rFonts w:ascii="Times New Roman" w:hAnsi="Times New Roman" w:cs="Times New Roman"/>
          <w:sz w:val="20"/>
        </w:rPr>
        <w:t xml:space="preserve"> First System® clear aligners with no auxiliaries other than </w:t>
      </w:r>
      <w:proofErr w:type="spellStart"/>
      <w:r w:rsidRPr="00032733">
        <w:rPr>
          <w:rFonts w:ascii="Times New Roman" w:hAnsi="Times New Roman" w:cs="Times New Roman"/>
          <w:sz w:val="20"/>
        </w:rPr>
        <w:t>Invisalign</w:t>
      </w:r>
      <w:proofErr w:type="spellEnd"/>
      <w:r w:rsidRPr="00032733">
        <w:rPr>
          <w:rFonts w:ascii="Times New Roman" w:hAnsi="Times New Roman" w:cs="Times New Roman"/>
          <w:sz w:val="20"/>
        </w:rPr>
        <w:t>® attachments. Transverse interdental widths were measured only in the upper arch on each model at the start (T1) and at the end (T2) of treatment. A paired t-test was chosen to compare T2–T1 changes. The level of significance was set at 5%</w:t>
      </w:r>
      <w:r w:rsidR="00B76EA2">
        <w:rPr>
          <w:rFonts w:ascii="Times New Roman" w:hAnsi="Times New Roman" w:cs="Times New Roman"/>
          <w:sz w:val="20"/>
        </w:rPr>
        <w:t xml:space="preserve"> (Figure 1)</w:t>
      </w:r>
      <w:r w:rsidRPr="00032733">
        <w:rPr>
          <w:rFonts w:ascii="Times New Roman" w:hAnsi="Times New Roman" w:cs="Times New Roman"/>
          <w:sz w:val="20"/>
        </w:rPr>
        <w:t>.</w:t>
      </w:r>
    </w:p>
    <w:p w:rsidR="00032733" w:rsidRPr="00032733" w:rsidRDefault="00032733" w:rsidP="00032733">
      <w:pPr>
        <w:jc w:val="both"/>
        <w:rPr>
          <w:rFonts w:ascii="Times New Roman" w:hAnsi="Times New Roman" w:cs="Times New Roman"/>
          <w:sz w:val="20"/>
        </w:rPr>
      </w:pPr>
      <w:r w:rsidRPr="00032733">
        <w:rPr>
          <w:rFonts w:ascii="Times New Roman" w:hAnsi="Times New Roman" w:cs="Times New Roman"/>
          <w:b/>
          <w:sz w:val="20"/>
        </w:rPr>
        <w:t>Results</w:t>
      </w:r>
      <w:r w:rsidRPr="00032733">
        <w:rPr>
          <w:rFonts w:ascii="Times New Roman" w:hAnsi="Times New Roman" w:cs="Times New Roman"/>
          <w:b/>
          <w:sz w:val="20"/>
        </w:rPr>
        <w:t>:</w:t>
      </w:r>
      <w:r w:rsidRPr="00032733">
        <w:rPr>
          <w:rFonts w:ascii="Times New Roman" w:hAnsi="Times New Roman" w:cs="Times New Roman"/>
          <w:sz w:val="20"/>
        </w:rPr>
        <w:t xml:space="preserve"> The greatest increase of maxillary width was detected at the level of the upper first deciduous molars (+3.7</w:t>
      </w:r>
      <w:r>
        <w:rPr>
          <w:rFonts w:ascii="Times New Roman" w:hAnsi="Times New Roman" w:cs="Times New Roman"/>
          <w:sz w:val="20"/>
        </w:rPr>
        <w:t xml:space="preserve"> </w:t>
      </w:r>
      <w:r w:rsidRPr="00032733">
        <w:rPr>
          <w:rFonts w:ascii="Times New Roman" w:hAnsi="Times New Roman" w:cs="Times New Roman"/>
          <w:sz w:val="20"/>
        </w:rPr>
        <w:t>±</w:t>
      </w:r>
      <w:r>
        <w:rPr>
          <w:rFonts w:ascii="Times New Roman" w:hAnsi="Times New Roman" w:cs="Times New Roman"/>
          <w:sz w:val="20"/>
        </w:rPr>
        <w:t xml:space="preserve"> </w:t>
      </w:r>
      <w:r w:rsidRPr="00032733">
        <w:rPr>
          <w:rFonts w:ascii="Times New Roman" w:hAnsi="Times New Roman" w:cs="Times New Roman"/>
          <w:sz w:val="20"/>
        </w:rPr>
        <w:t>1.4</w:t>
      </w:r>
      <w:r w:rsidR="00BA28FE">
        <w:rPr>
          <w:rFonts w:ascii="Times New Roman" w:hAnsi="Times New Roman" w:cs="Times New Roman"/>
          <w:sz w:val="20"/>
        </w:rPr>
        <w:t xml:space="preserve"> </w:t>
      </w:r>
      <w:r w:rsidRPr="00032733">
        <w:rPr>
          <w:rFonts w:ascii="Times New Roman" w:hAnsi="Times New Roman" w:cs="Times New Roman"/>
          <w:sz w:val="20"/>
        </w:rPr>
        <w:t>mm; P&lt;0.001), followed by the level of the second deciduous molars (+3.4</w:t>
      </w:r>
      <w:r>
        <w:rPr>
          <w:rFonts w:ascii="Times New Roman" w:hAnsi="Times New Roman" w:cs="Times New Roman"/>
          <w:sz w:val="20"/>
        </w:rPr>
        <w:t xml:space="preserve"> </w:t>
      </w:r>
      <w:r w:rsidRPr="00032733">
        <w:rPr>
          <w:rFonts w:ascii="Times New Roman" w:hAnsi="Times New Roman" w:cs="Times New Roman"/>
          <w:sz w:val="20"/>
        </w:rPr>
        <w:t>±</w:t>
      </w:r>
      <w:r>
        <w:rPr>
          <w:rFonts w:ascii="Times New Roman" w:hAnsi="Times New Roman" w:cs="Times New Roman"/>
          <w:sz w:val="20"/>
        </w:rPr>
        <w:t xml:space="preserve"> </w:t>
      </w:r>
      <w:r w:rsidRPr="00032733">
        <w:rPr>
          <w:rFonts w:ascii="Times New Roman" w:hAnsi="Times New Roman" w:cs="Times New Roman"/>
          <w:sz w:val="20"/>
        </w:rPr>
        <w:t>1.6</w:t>
      </w:r>
      <w:r w:rsidR="00BA28FE">
        <w:rPr>
          <w:rFonts w:ascii="Times New Roman" w:hAnsi="Times New Roman" w:cs="Times New Roman"/>
          <w:sz w:val="20"/>
        </w:rPr>
        <w:t xml:space="preserve"> </w:t>
      </w:r>
      <w:r w:rsidRPr="00032733">
        <w:rPr>
          <w:rFonts w:ascii="Times New Roman" w:hAnsi="Times New Roman" w:cs="Times New Roman"/>
          <w:sz w:val="20"/>
        </w:rPr>
        <w:t>mm; P&lt;0.001) and by the decid</w:t>
      </w:r>
      <w:r>
        <w:rPr>
          <w:rFonts w:ascii="Times New Roman" w:hAnsi="Times New Roman" w:cs="Times New Roman"/>
          <w:sz w:val="20"/>
        </w:rPr>
        <w:t>uous canine (+2.6 ± 2.0 mm; P&lt;</w:t>
      </w:r>
      <w:r w:rsidRPr="00032733">
        <w:rPr>
          <w:rFonts w:ascii="Times New Roman" w:hAnsi="Times New Roman" w:cs="Times New Roman"/>
          <w:sz w:val="20"/>
        </w:rPr>
        <w:t xml:space="preserve">0.001). Upper first molars showed a greater expansion in the </w:t>
      </w:r>
      <w:proofErr w:type="spellStart"/>
      <w:r w:rsidRPr="00032733">
        <w:rPr>
          <w:rFonts w:ascii="Times New Roman" w:hAnsi="Times New Roman" w:cs="Times New Roman"/>
          <w:sz w:val="20"/>
        </w:rPr>
        <w:t>intermolar</w:t>
      </w:r>
      <w:proofErr w:type="spellEnd"/>
      <w:r w:rsidRPr="00032733">
        <w:rPr>
          <w:rFonts w:ascii="Times New Roman" w:hAnsi="Times New Roman" w:cs="Times New Roman"/>
          <w:sz w:val="20"/>
        </w:rPr>
        <w:t xml:space="preserve"> mesial width (+3.2</w:t>
      </w:r>
      <w:r>
        <w:rPr>
          <w:rFonts w:ascii="Times New Roman" w:hAnsi="Times New Roman" w:cs="Times New Roman"/>
          <w:sz w:val="20"/>
        </w:rPr>
        <w:t xml:space="preserve"> </w:t>
      </w:r>
      <w:r w:rsidRPr="00032733">
        <w:rPr>
          <w:rFonts w:ascii="Times New Roman" w:hAnsi="Times New Roman" w:cs="Times New Roman"/>
          <w:sz w:val="20"/>
        </w:rPr>
        <w:t>±</w:t>
      </w:r>
      <w:r>
        <w:rPr>
          <w:rFonts w:ascii="Times New Roman" w:hAnsi="Times New Roman" w:cs="Times New Roman"/>
          <w:sz w:val="20"/>
        </w:rPr>
        <w:t xml:space="preserve"> </w:t>
      </w:r>
      <w:r w:rsidRPr="00032733">
        <w:rPr>
          <w:rFonts w:ascii="Times New Roman" w:hAnsi="Times New Roman" w:cs="Times New Roman"/>
          <w:sz w:val="20"/>
        </w:rPr>
        <w:t>1.2</w:t>
      </w:r>
      <w:r w:rsidR="00BA28FE">
        <w:rPr>
          <w:rFonts w:ascii="Times New Roman" w:hAnsi="Times New Roman" w:cs="Times New Roman"/>
          <w:sz w:val="20"/>
        </w:rPr>
        <w:t xml:space="preserve"> </w:t>
      </w:r>
      <w:r w:rsidRPr="00032733">
        <w:rPr>
          <w:rFonts w:ascii="Times New Roman" w:hAnsi="Times New Roman" w:cs="Times New Roman"/>
          <w:sz w:val="20"/>
        </w:rPr>
        <w:t xml:space="preserve">mm; P&lt;0.001) than in the </w:t>
      </w:r>
      <w:proofErr w:type="spellStart"/>
      <w:r w:rsidRPr="00032733">
        <w:rPr>
          <w:rFonts w:ascii="Times New Roman" w:hAnsi="Times New Roman" w:cs="Times New Roman"/>
          <w:sz w:val="20"/>
        </w:rPr>
        <w:t>intermolar</w:t>
      </w:r>
      <w:proofErr w:type="spellEnd"/>
      <w:r w:rsidRPr="00032733">
        <w:rPr>
          <w:rFonts w:ascii="Times New Roman" w:hAnsi="Times New Roman" w:cs="Times New Roman"/>
          <w:sz w:val="20"/>
        </w:rPr>
        <w:t xml:space="preserve"> distal (+1.7</w:t>
      </w:r>
      <w:r>
        <w:rPr>
          <w:rFonts w:ascii="Times New Roman" w:hAnsi="Times New Roman" w:cs="Times New Roman"/>
          <w:sz w:val="20"/>
        </w:rPr>
        <w:t xml:space="preserve"> </w:t>
      </w:r>
      <w:r w:rsidRPr="00032733">
        <w:rPr>
          <w:rFonts w:ascii="Times New Roman" w:hAnsi="Times New Roman" w:cs="Times New Roman"/>
          <w:sz w:val="20"/>
        </w:rPr>
        <w:t>±</w:t>
      </w:r>
      <w:r>
        <w:rPr>
          <w:rFonts w:ascii="Times New Roman" w:hAnsi="Times New Roman" w:cs="Times New Roman"/>
          <w:sz w:val="20"/>
        </w:rPr>
        <w:t xml:space="preserve"> </w:t>
      </w:r>
      <w:r w:rsidRPr="00032733">
        <w:rPr>
          <w:rFonts w:ascii="Times New Roman" w:hAnsi="Times New Roman" w:cs="Times New Roman"/>
          <w:sz w:val="20"/>
        </w:rPr>
        <w:t>1.2</w:t>
      </w:r>
      <w:r w:rsidR="00BA28FE">
        <w:rPr>
          <w:rFonts w:ascii="Times New Roman" w:hAnsi="Times New Roman" w:cs="Times New Roman"/>
          <w:sz w:val="20"/>
        </w:rPr>
        <w:t xml:space="preserve"> </w:t>
      </w:r>
      <w:r w:rsidRPr="00032733">
        <w:rPr>
          <w:rFonts w:ascii="Times New Roman" w:hAnsi="Times New Roman" w:cs="Times New Roman"/>
          <w:sz w:val="20"/>
        </w:rPr>
        <w:t xml:space="preserve">mm; P&lt;0.001) and </w:t>
      </w:r>
      <w:proofErr w:type="spellStart"/>
      <w:r w:rsidRPr="00032733">
        <w:rPr>
          <w:rFonts w:ascii="Times New Roman" w:hAnsi="Times New Roman" w:cs="Times New Roman"/>
          <w:sz w:val="20"/>
        </w:rPr>
        <w:t>transpalatal</w:t>
      </w:r>
      <w:proofErr w:type="spellEnd"/>
      <w:r w:rsidRPr="00032733">
        <w:rPr>
          <w:rFonts w:ascii="Times New Roman" w:hAnsi="Times New Roman" w:cs="Times New Roman"/>
          <w:sz w:val="20"/>
        </w:rPr>
        <w:t xml:space="preserve"> width (+1.2</w:t>
      </w:r>
      <w:r>
        <w:rPr>
          <w:rFonts w:ascii="Times New Roman" w:hAnsi="Times New Roman" w:cs="Times New Roman"/>
          <w:sz w:val="20"/>
        </w:rPr>
        <w:t xml:space="preserve"> </w:t>
      </w:r>
      <w:r w:rsidRPr="00032733">
        <w:rPr>
          <w:rFonts w:ascii="Times New Roman" w:hAnsi="Times New Roman" w:cs="Times New Roman"/>
          <w:sz w:val="20"/>
        </w:rPr>
        <w:t>±</w:t>
      </w:r>
      <w:r>
        <w:rPr>
          <w:rFonts w:ascii="Times New Roman" w:hAnsi="Times New Roman" w:cs="Times New Roman"/>
          <w:sz w:val="20"/>
        </w:rPr>
        <w:t xml:space="preserve"> 1.2</w:t>
      </w:r>
      <w:r w:rsidR="00BA28FE">
        <w:rPr>
          <w:rFonts w:ascii="Times New Roman" w:hAnsi="Times New Roman" w:cs="Times New Roman"/>
          <w:sz w:val="20"/>
        </w:rPr>
        <w:t xml:space="preserve"> </w:t>
      </w:r>
      <w:r>
        <w:rPr>
          <w:rFonts w:ascii="Times New Roman" w:hAnsi="Times New Roman" w:cs="Times New Roman"/>
          <w:sz w:val="20"/>
        </w:rPr>
        <w:t>mm; P</w:t>
      </w:r>
      <w:r w:rsidRPr="00032733">
        <w:rPr>
          <w:rFonts w:ascii="Times New Roman" w:hAnsi="Times New Roman" w:cs="Times New Roman"/>
          <w:sz w:val="20"/>
        </w:rPr>
        <w:t>&lt;0.01).</w:t>
      </w:r>
    </w:p>
    <w:p w:rsidR="00032733" w:rsidRDefault="00032733" w:rsidP="00032733">
      <w:pPr>
        <w:jc w:val="both"/>
        <w:rPr>
          <w:rFonts w:ascii="Times New Roman" w:hAnsi="Times New Roman" w:cs="Times New Roman"/>
          <w:sz w:val="20"/>
          <w:szCs w:val="20"/>
        </w:rPr>
      </w:pPr>
      <w:r w:rsidRPr="00032733">
        <w:rPr>
          <w:rFonts w:ascii="Times New Roman" w:hAnsi="Times New Roman" w:cs="Times New Roman"/>
          <w:b/>
          <w:sz w:val="20"/>
        </w:rPr>
        <w:t>Conclusion:</w:t>
      </w:r>
      <w:r w:rsidRPr="00032733">
        <w:rPr>
          <w:rFonts w:ascii="Times New Roman" w:hAnsi="Times New Roman" w:cs="Times New Roman"/>
          <w:sz w:val="20"/>
        </w:rPr>
        <w:t xml:space="preserve"> The </w:t>
      </w:r>
      <w:proofErr w:type="spellStart"/>
      <w:r w:rsidRPr="00032733">
        <w:rPr>
          <w:rFonts w:ascii="Times New Roman" w:hAnsi="Times New Roman" w:cs="Times New Roman"/>
          <w:sz w:val="20"/>
        </w:rPr>
        <w:t>Invisalign</w:t>
      </w:r>
      <w:proofErr w:type="spellEnd"/>
      <w:r w:rsidRPr="00032733">
        <w:rPr>
          <w:rFonts w:ascii="Times New Roman" w:hAnsi="Times New Roman" w:cs="Times New Roman"/>
          <w:sz w:val="20"/>
        </w:rPr>
        <w:t xml:space="preserve"> First System® can be considered effective in growing patients who require maxillary arch </w:t>
      </w:r>
      <w:r w:rsidRPr="00032733">
        <w:rPr>
          <w:rFonts w:ascii="Times New Roman" w:hAnsi="Times New Roman" w:cs="Times New Roman"/>
          <w:sz w:val="20"/>
          <w:szCs w:val="20"/>
        </w:rPr>
        <w:t xml:space="preserve">development. The greatest net increase was detected at the level of upper first deciduous molars, whereas the upper first molars showed a greater expansion in the </w:t>
      </w:r>
      <w:proofErr w:type="spellStart"/>
      <w:r w:rsidRPr="00032733">
        <w:rPr>
          <w:rFonts w:ascii="Times New Roman" w:hAnsi="Times New Roman" w:cs="Times New Roman"/>
          <w:sz w:val="20"/>
          <w:szCs w:val="20"/>
        </w:rPr>
        <w:t>intermolar</w:t>
      </w:r>
      <w:proofErr w:type="spellEnd"/>
      <w:r w:rsidRPr="00032733">
        <w:rPr>
          <w:rFonts w:ascii="Times New Roman" w:hAnsi="Times New Roman" w:cs="Times New Roman"/>
          <w:sz w:val="20"/>
          <w:szCs w:val="20"/>
        </w:rPr>
        <w:t xml:space="preserve"> mesial width due to a rotation that occurs around its palatal root.</w:t>
      </w:r>
    </w:p>
    <w:p w:rsidR="00032733" w:rsidRDefault="00032733" w:rsidP="00032733">
      <w:pPr>
        <w:jc w:val="center"/>
        <w:rPr>
          <w:rFonts w:ascii="Times New Roman" w:hAnsi="Times New Roman" w:cs="Times New Roman"/>
          <w:sz w:val="24"/>
        </w:rPr>
      </w:pPr>
      <w:r>
        <w:rPr>
          <w:rFonts w:ascii="Times New Roman" w:hAnsi="Times New Roman" w:cs="Times New Roman"/>
          <w:noProof/>
          <w:sz w:val="24"/>
        </w:rPr>
        <w:drawing>
          <wp:inline distT="0" distB="0" distL="0" distR="0" wp14:anchorId="41008DB4">
            <wp:extent cx="1762125" cy="1438910"/>
            <wp:effectExtent l="0" t="0" r="952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62125" cy="1438910"/>
                    </a:xfrm>
                    <a:prstGeom prst="rect">
                      <a:avLst/>
                    </a:prstGeom>
                    <a:noFill/>
                  </pic:spPr>
                </pic:pic>
              </a:graphicData>
            </a:graphic>
          </wp:inline>
        </w:drawing>
      </w:r>
    </w:p>
    <w:p w:rsidR="00032733" w:rsidRDefault="00032733" w:rsidP="00032733">
      <w:pPr>
        <w:jc w:val="center"/>
        <w:rPr>
          <w:rFonts w:ascii="Times New Roman" w:hAnsi="Times New Roman" w:cs="Times New Roman"/>
          <w:i/>
          <w:sz w:val="18"/>
        </w:rPr>
      </w:pPr>
      <w:proofErr w:type="gramStart"/>
      <w:r w:rsidRPr="00032733">
        <w:rPr>
          <w:rFonts w:ascii="Times New Roman" w:hAnsi="Times New Roman" w:cs="Times New Roman"/>
          <w:b/>
          <w:i/>
          <w:sz w:val="18"/>
        </w:rPr>
        <w:t>Figure 1.</w:t>
      </w:r>
      <w:proofErr w:type="gramEnd"/>
      <w:r w:rsidRPr="00032733">
        <w:rPr>
          <w:rFonts w:ascii="Times New Roman" w:hAnsi="Times New Roman" w:cs="Times New Roman"/>
          <w:i/>
          <w:sz w:val="18"/>
        </w:rPr>
        <w:t xml:space="preserve"> </w:t>
      </w:r>
      <w:proofErr w:type="gramStart"/>
      <w:r w:rsidRPr="00032733">
        <w:rPr>
          <w:rFonts w:ascii="Times New Roman" w:hAnsi="Times New Roman" w:cs="Times New Roman"/>
          <w:i/>
          <w:sz w:val="18"/>
        </w:rPr>
        <w:t xml:space="preserve">Superimposition of pretreatment (green) and </w:t>
      </w:r>
      <w:proofErr w:type="spellStart"/>
      <w:r w:rsidRPr="00032733">
        <w:rPr>
          <w:rFonts w:ascii="Times New Roman" w:hAnsi="Times New Roman" w:cs="Times New Roman"/>
          <w:i/>
          <w:sz w:val="18"/>
        </w:rPr>
        <w:t>posttreatment</w:t>
      </w:r>
      <w:proofErr w:type="spellEnd"/>
      <w:r w:rsidRPr="00032733">
        <w:rPr>
          <w:rFonts w:ascii="Times New Roman" w:hAnsi="Times New Roman" w:cs="Times New Roman"/>
          <w:i/>
          <w:sz w:val="18"/>
        </w:rPr>
        <w:t xml:space="preserve"> (yellow) digital models on palatal </w:t>
      </w:r>
      <w:proofErr w:type="spellStart"/>
      <w:r w:rsidRPr="00032733">
        <w:rPr>
          <w:rFonts w:ascii="Times New Roman" w:hAnsi="Times New Roman" w:cs="Times New Roman"/>
          <w:i/>
          <w:sz w:val="18"/>
        </w:rPr>
        <w:t>rugae</w:t>
      </w:r>
      <w:proofErr w:type="spellEnd"/>
      <w:r w:rsidRPr="00032733">
        <w:rPr>
          <w:rFonts w:ascii="Times New Roman" w:hAnsi="Times New Roman" w:cs="Times New Roman"/>
          <w:i/>
          <w:sz w:val="18"/>
        </w:rPr>
        <w:t>.</w:t>
      </w:r>
      <w:proofErr w:type="gramEnd"/>
    </w:p>
    <w:p w:rsidR="00032733" w:rsidRPr="00032733" w:rsidRDefault="00032733" w:rsidP="00032733">
      <w:pPr>
        <w:rPr>
          <w:rFonts w:ascii="Times New Roman" w:hAnsi="Times New Roman" w:cs="Times New Roman"/>
          <w:b/>
          <w:sz w:val="24"/>
        </w:rPr>
      </w:pPr>
      <w:r w:rsidRPr="00032733">
        <w:rPr>
          <w:rFonts w:ascii="Times New Roman" w:hAnsi="Times New Roman" w:cs="Times New Roman"/>
          <w:b/>
          <w:sz w:val="24"/>
        </w:rPr>
        <w:t xml:space="preserve">Biography </w:t>
      </w:r>
    </w:p>
    <w:p w:rsidR="00032733" w:rsidRPr="00032733" w:rsidRDefault="00032733" w:rsidP="00032733">
      <w:pPr>
        <w:jc w:val="both"/>
        <w:rPr>
          <w:rFonts w:ascii="Times New Roman" w:hAnsi="Times New Roman" w:cs="Times New Roman"/>
          <w:sz w:val="20"/>
        </w:rPr>
      </w:pPr>
      <w:proofErr w:type="spellStart"/>
      <w:r w:rsidRPr="00032733">
        <w:rPr>
          <w:rFonts w:ascii="Times New Roman" w:hAnsi="Times New Roman" w:cs="Times New Roman"/>
          <w:sz w:val="20"/>
        </w:rPr>
        <w:t>Lione</w:t>
      </w:r>
      <w:proofErr w:type="spellEnd"/>
      <w:r w:rsidRPr="00032733">
        <w:rPr>
          <w:rFonts w:ascii="Times New Roman" w:hAnsi="Times New Roman" w:cs="Times New Roman"/>
          <w:sz w:val="20"/>
        </w:rPr>
        <w:t xml:space="preserve"> R has</w:t>
      </w:r>
      <w:r w:rsidRPr="00032733">
        <w:rPr>
          <w:rFonts w:ascii="Times New Roman" w:hAnsi="Times New Roman" w:cs="Times New Roman"/>
          <w:sz w:val="20"/>
        </w:rPr>
        <w:t xml:space="preserve"> a broad background in Orthodontics and biomechanical teeth movements, with specific training and expertise in </w:t>
      </w:r>
      <w:proofErr w:type="spellStart"/>
      <w:r w:rsidRPr="00032733">
        <w:rPr>
          <w:rFonts w:ascii="Times New Roman" w:hAnsi="Times New Roman" w:cs="Times New Roman"/>
          <w:sz w:val="20"/>
        </w:rPr>
        <w:t>cranio</w:t>
      </w:r>
      <w:proofErr w:type="spellEnd"/>
      <w:r w:rsidRPr="00032733">
        <w:rPr>
          <w:rFonts w:ascii="Times New Roman" w:hAnsi="Times New Roman" w:cs="Times New Roman"/>
          <w:sz w:val="20"/>
        </w:rPr>
        <w:t xml:space="preserve">-facial growth and orthodontic treatment in growing patients. My research includes the behavior of the growth factors, the directionality of the growing facial structures and undergoing orthodontic treatment, the </w:t>
      </w:r>
      <w:r w:rsidRPr="00032733">
        <w:rPr>
          <w:rFonts w:ascii="Times New Roman" w:hAnsi="Times New Roman" w:cs="Times New Roman"/>
          <w:sz w:val="20"/>
        </w:rPr>
        <w:lastRenderedPageBreak/>
        <w:t xml:space="preserve">cellular and structural potential of response to orthodontic treatment in growing patients, the new approaches of maxillofacial surgery with three-dimensional visualization, modern conceptions the tooth movement in three- dimensional software, new protocols and new approaches to orthodontic treatment for the resolution of the most complex malocclusions. I laid the groundwork for the proposed research by developing my personal ability to handle well three-dimensional visualization software (as used by </w:t>
      </w:r>
      <w:proofErr w:type="spellStart"/>
      <w:r w:rsidRPr="00032733">
        <w:rPr>
          <w:rFonts w:ascii="Times New Roman" w:hAnsi="Times New Roman" w:cs="Times New Roman"/>
          <w:sz w:val="20"/>
        </w:rPr>
        <w:t>AlignTechnology</w:t>
      </w:r>
      <w:proofErr w:type="spellEnd"/>
      <w:r w:rsidRPr="00032733">
        <w:rPr>
          <w:rFonts w:ascii="Times New Roman" w:hAnsi="Times New Roman" w:cs="Times New Roman"/>
          <w:sz w:val="20"/>
        </w:rPr>
        <w:t>), and having excellent knowledge of biomechanical orthodontic. This knowledge, which come from many years of clinical orthodontics with MBT technique, they are integrated with the latest knowledge of pure mechanical engineering and 3D design.</w:t>
      </w:r>
    </w:p>
    <w:sectPr w:rsidR="00032733" w:rsidRPr="0003273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8-26T17:19:00Z" w:initials="SS">
    <w:p w:rsidR="008D3D3F" w:rsidRDefault="008D3D3F">
      <w:pPr>
        <w:pStyle w:val="CommentText"/>
      </w:pPr>
      <w:r>
        <w:rPr>
          <w:rStyle w:val="CommentReference"/>
        </w:rPr>
        <w:annotationRef/>
      </w:r>
      <w:r>
        <w:t>Already published. Please find the below links for your reference.</w:t>
      </w:r>
    </w:p>
    <w:p w:rsidR="008D3D3F" w:rsidRDefault="008D3D3F">
      <w:pPr>
        <w:pStyle w:val="CommentText"/>
      </w:pPr>
    </w:p>
    <w:p w:rsidR="008D3D3F" w:rsidRDefault="008D3D3F" w:rsidP="008D3D3F">
      <w:pPr>
        <w:pStyle w:val="CommentText"/>
        <w:numPr>
          <w:ilvl w:val="0"/>
          <w:numId w:val="1"/>
        </w:numPr>
      </w:pPr>
      <w:hyperlink r:id="rId1" w:history="1">
        <w:r w:rsidRPr="0036631D">
          <w:rPr>
            <w:rStyle w:val="Hyperlink"/>
          </w:rPr>
          <w:t>https://pubmed.ncbi.nlm.nih.gov/34477905/</w:t>
        </w:r>
      </w:hyperlink>
    </w:p>
    <w:p w:rsidR="008D3D3F" w:rsidRDefault="008D3D3F" w:rsidP="008D3D3F">
      <w:pPr>
        <w:pStyle w:val="CommentText"/>
        <w:numPr>
          <w:ilvl w:val="0"/>
          <w:numId w:val="1"/>
        </w:numPr>
      </w:pPr>
      <w:hyperlink r:id="rId2" w:history="1">
        <w:r w:rsidRPr="0036631D">
          <w:rPr>
            <w:rStyle w:val="Hyperlink"/>
          </w:rPr>
          <w:t>https://www.researchgate.net/publication/354360492_Upper_arch_dimensional_changes_with_clear_aligners_in_the_early_mixed_dentitionDimensionsanderungen_mit_Clear_Alignern_im_fruhen_Wechselgebiss_im_Oberkiefer_A_prospective_studyEine_prospektive_Studie</w:t>
        </w:r>
      </w:hyperlink>
    </w:p>
    <w:p w:rsidR="008D3D3F" w:rsidRDefault="008D3D3F" w:rsidP="008D3D3F">
      <w:pPr>
        <w:pStyle w:val="CommentText"/>
        <w:numPr>
          <w:ilvl w:val="0"/>
          <w:numId w:val="1"/>
        </w:numPr>
      </w:pPr>
      <w:hyperlink r:id="rId3" w:history="1">
        <w:r w:rsidRPr="0036631D">
          <w:rPr>
            <w:rStyle w:val="Hyperlink"/>
          </w:rPr>
          <w:t>https://link.springer.com/article/10.1007/s00056-021-00332-z</w:t>
        </w:r>
      </w:hyperlink>
    </w:p>
    <w:p w:rsidR="008D3D3F" w:rsidRDefault="008D3D3F" w:rsidP="008D3D3F">
      <w:pPr>
        <w:pStyle w:val="CommentText"/>
        <w:numPr>
          <w:ilvl w:val="0"/>
          <w:numId w:val="1"/>
        </w:numPr>
      </w:pPr>
      <w:hyperlink r:id="rId4" w:history="1">
        <w:r w:rsidRPr="0036631D">
          <w:rPr>
            <w:rStyle w:val="Hyperlink"/>
          </w:rPr>
          <w:t>https://europepmc.org/article/med/34477905</w:t>
        </w:r>
      </w:hyperlink>
    </w:p>
    <w:p w:rsidR="008D3D3F" w:rsidRDefault="008D3D3F" w:rsidP="008D3D3F">
      <w:pPr>
        <w:pStyle w:val="CommentText"/>
        <w:numPr>
          <w:ilvl w:val="0"/>
          <w:numId w:val="1"/>
        </w:numPr>
      </w:pPr>
      <w:hyperlink r:id="rId5" w:history="1">
        <w:r w:rsidRPr="0036631D">
          <w:rPr>
            <w:rStyle w:val="Hyperlink"/>
          </w:rPr>
          <w:t>https://www.semanticscholar.org/paper/Upper-arch-dimensional-changes-with-clear-aligners-Lione-Lombardo/02b152e3805f9260e86f855930c16039af4196f2</w:t>
        </w:r>
      </w:hyperlink>
    </w:p>
    <w:p w:rsidR="008D3D3F" w:rsidRDefault="008D3D3F" w:rsidP="008D3D3F">
      <w:pPr>
        <w:pStyle w:val="CommentText"/>
        <w:numPr>
          <w:ilvl w:val="0"/>
          <w:numId w:val="1"/>
        </w:numPr>
      </w:pPr>
      <w:hyperlink r:id="rId6" w:history="1">
        <w:r w:rsidRPr="0036631D">
          <w:rPr>
            <w:rStyle w:val="Hyperlink"/>
          </w:rPr>
          <w:t>https://art.torvergata.it/handle/2108/296350</w:t>
        </w:r>
      </w:hyperlink>
    </w:p>
    <w:p w:rsidR="008D3D3F" w:rsidRDefault="008D3D3F" w:rsidP="008D3D3F">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E82028"/>
    <w:multiLevelType w:val="hybridMultilevel"/>
    <w:tmpl w:val="1C509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733"/>
    <w:rsid w:val="00032733"/>
    <w:rsid w:val="00474203"/>
    <w:rsid w:val="00535872"/>
    <w:rsid w:val="008D3D3F"/>
    <w:rsid w:val="00924B33"/>
    <w:rsid w:val="00B76EA2"/>
    <w:rsid w:val="00BA2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27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2733"/>
    <w:rPr>
      <w:rFonts w:ascii="Tahoma" w:hAnsi="Tahoma" w:cs="Tahoma"/>
      <w:sz w:val="16"/>
      <w:szCs w:val="16"/>
    </w:rPr>
  </w:style>
  <w:style w:type="character" w:styleId="CommentReference">
    <w:name w:val="annotation reference"/>
    <w:basedOn w:val="DefaultParagraphFont"/>
    <w:uiPriority w:val="99"/>
    <w:semiHidden/>
    <w:unhideWhenUsed/>
    <w:rsid w:val="008D3D3F"/>
    <w:rPr>
      <w:sz w:val="16"/>
      <w:szCs w:val="16"/>
    </w:rPr>
  </w:style>
  <w:style w:type="paragraph" w:styleId="CommentText">
    <w:name w:val="annotation text"/>
    <w:basedOn w:val="Normal"/>
    <w:link w:val="CommentTextChar"/>
    <w:uiPriority w:val="99"/>
    <w:semiHidden/>
    <w:unhideWhenUsed/>
    <w:rsid w:val="008D3D3F"/>
    <w:pPr>
      <w:spacing w:line="240" w:lineRule="auto"/>
    </w:pPr>
    <w:rPr>
      <w:sz w:val="20"/>
      <w:szCs w:val="20"/>
    </w:rPr>
  </w:style>
  <w:style w:type="character" w:customStyle="1" w:styleId="CommentTextChar">
    <w:name w:val="Comment Text Char"/>
    <w:basedOn w:val="DefaultParagraphFont"/>
    <w:link w:val="CommentText"/>
    <w:uiPriority w:val="99"/>
    <w:semiHidden/>
    <w:rsid w:val="008D3D3F"/>
    <w:rPr>
      <w:sz w:val="20"/>
      <w:szCs w:val="20"/>
    </w:rPr>
  </w:style>
  <w:style w:type="paragraph" w:styleId="CommentSubject">
    <w:name w:val="annotation subject"/>
    <w:basedOn w:val="CommentText"/>
    <w:next w:val="CommentText"/>
    <w:link w:val="CommentSubjectChar"/>
    <w:uiPriority w:val="99"/>
    <w:semiHidden/>
    <w:unhideWhenUsed/>
    <w:rsid w:val="008D3D3F"/>
    <w:rPr>
      <w:b/>
      <w:bCs/>
    </w:rPr>
  </w:style>
  <w:style w:type="character" w:customStyle="1" w:styleId="CommentSubjectChar">
    <w:name w:val="Comment Subject Char"/>
    <w:basedOn w:val="CommentTextChar"/>
    <w:link w:val="CommentSubject"/>
    <w:uiPriority w:val="99"/>
    <w:semiHidden/>
    <w:rsid w:val="008D3D3F"/>
    <w:rPr>
      <w:b/>
      <w:bCs/>
      <w:sz w:val="20"/>
      <w:szCs w:val="20"/>
    </w:rPr>
  </w:style>
  <w:style w:type="character" w:styleId="Hyperlink">
    <w:name w:val="Hyperlink"/>
    <w:basedOn w:val="DefaultParagraphFont"/>
    <w:uiPriority w:val="99"/>
    <w:unhideWhenUsed/>
    <w:rsid w:val="008D3D3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27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2733"/>
    <w:rPr>
      <w:rFonts w:ascii="Tahoma" w:hAnsi="Tahoma" w:cs="Tahoma"/>
      <w:sz w:val="16"/>
      <w:szCs w:val="16"/>
    </w:rPr>
  </w:style>
  <w:style w:type="character" w:styleId="CommentReference">
    <w:name w:val="annotation reference"/>
    <w:basedOn w:val="DefaultParagraphFont"/>
    <w:uiPriority w:val="99"/>
    <w:semiHidden/>
    <w:unhideWhenUsed/>
    <w:rsid w:val="008D3D3F"/>
    <w:rPr>
      <w:sz w:val="16"/>
      <w:szCs w:val="16"/>
    </w:rPr>
  </w:style>
  <w:style w:type="paragraph" w:styleId="CommentText">
    <w:name w:val="annotation text"/>
    <w:basedOn w:val="Normal"/>
    <w:link w:val="CommentTextChar"/>
    <w:uiPriority w:val="99"/>
    <w:semiHidden/>
    <w:unhideWhenUsed/>
    <w:rsid w:val="008D3D3F"/>
    <w:pPr>
      <w:spacing w:line="240" w:lineRule="auto"/>
    </w:pPr>
    <w:rPr>
      <w:sz w:val="20"/>
      <w:szCs w:val="20"/>
    </w:rPr>
  </w:style>
  <w:style w:type="character" w:customStyle="1" w:styleId="CommentTextChar">
    <w:name w:val="Comment Text Char"/>
    <w:basedOn w:val="DefaultParagraphFont"/>
    <w:link w:val="CommentText"/>
    <w:uiPriority w:val="99"/>
    <w:semiHidden/>
    <w:rsid w:val="008D3D3F"/>
    <w:rPr>
      <w:sz w:val="20"/>
      <w:szCs w:val="20"/>
    </w:rPr>
  </w:style>
  <w:style w:type="paragraph" w:styleId="CommentSubject">
    <w:name w:val="annotation subject"/>
    <w:basedOn w:val="CommentText"/>
    <w:next w:val="CommentText"/>
    <w:link w:val="CommentSubjectChar"/>
    <w:uiPriority w:val="99"/>
    <w:semiHidden/>
    <w:unhideWhenUsed/>
    <w:rsid w:val="008D3D3F"/>
    <w:rPr>
      <w:b/>
      <w:bCs/>
    </w:rPr>
  </w:style>
  <w:style w:type="character" w:customStyle="1" w:styleId="CommentSubjectChar">
    <w:name w:val="Comment Subject Char"/>
    <w:basedOn w:val="CommentTextChar"/>
    <w:link w:val="CommentSubject"/>
    <w:uiPriority w:val="99"/>
    <w:semiHidden/>
    <w:rsid w:val="008D3D3F"/>
    <w:rPr>
      <w:b/>
      <w:bCs/>
      <w:sz w:val="20"/>
      <w:szCs w:val="20"/>
    </w:rPr>
  </w:style>
  <w:style w:type="character" w:styleId="Hyperlink">
    <w:name w:val="Hyperlink"/>
    <w:basedOn w:val="DefaultParagraphFont"/>
    <w:uiPriority w:val="99"/>
    <w:unhideWhenUsed/>
    <w:rsid w:val="008D3D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link.springer.com/article/10.1007/s00056-021-00332-z" TargetMode="External"/><Relationship Id="rId2" Type="http://schemas.openxmlformats.org/officeDocument/2006/relationships/hyperlink" Target="https://www.researchgate.net/publication/354360492_Upper_arch_dimensional_changes_with_clear_aligners_in_the_early_mixed_dentitionDimensionsanderungen_mit_Clear_Alignern_im_fruhen_Wechselgebiss_im_Oberkiefer_A_prospective_studyEine_prospektive_Studie" TargetMode="External"/><Relationship Id="rId1" Type="http://schemas.openxmlformats.org/officeDocument/2006/relationships/hyperlink" Target="https://pubmed.ncbi.nlm.nih.gov/34477905/" TargetMode="External"/><Relationship Id="rId6" Type="http://schemas.openxmlformats.org/officeDocument/2006/relationships/hyperlink" Target="https://art.torvergata.it/handle/2108/296350" TargetMode="External"/><Relationship Id="rId5" Type="http://schemas.openxmlformats.org/officeDocument/2006/relationships/hyperlink" Target="https://www.semanticscholar.org/paper/Upper-arch-dimensional-changes-with-clear-aligners-Lione-Lombardo/02b152e3805f9260e86f855930c16039af4196f2" TargetMode="External"/><Relationship Id="rId4" Type="http://schemas.openxmlformats.org/officeDocument/2006/relationships/hyperlink" Target="https://europepmc.org/article/med/34477905"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505</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2022-08-26T11:33:00Z</dcterms:created>
  <dcterms:modified xsi:type="dcterms:W3CDTF">2022-08-26T11:49:00Z</dcterms:modified>
</cp:coreProperties>
</file>