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E4E9F">
      <w:pPr>
        <w:rPr>
          <w:rFonts w:ascii="Times New Roman" w:hAnsi="Times New Roman" w:cs="Times New Roman"/>
          <w:b/>
          <w:sz w:val="32"/>
        </w:rPr>
      </w:pPr>
      <w:r w:rsidRPr="00AE4E9F">
        <w:rPr>
          <w:rFonts w:ascii="Times New Roman" w:hAnsi="Times New Roman" w:cs="Times New Roman"/>
          <w:b/>
          <w:sz w:val="32"/>
        </w:rPr>
        <w:t xml:space="preserve">Evaluation of the upper arch morphological changes after two different protocols of expansion in early mixed dentition: Rapid maxillary expansion and </w:t>
      </w:r>
      <w:proofErr w:type="spellStart"/>
      <w:r w:rsidRPr="00AE4E9F">
        <w:rPr>
          <w:rFonts w:ascii="Times New Roman" w:hAnsi="Times New Roman" w:cs="Times New Roman"/>
          <w:b/>
          <w:sz w:val="32"/>
        </w:rPr>
        <w:t>invisalign</w:t>
      </w:r>
      <w:proofErr w:type="spellEnd"/>
      <w:r w:rsidRPr="00AE4E9F">
        <w:rPr>
          <w:rFonts w:ascii="Times New Roman" w:hAnsi="Times New Roman" w:cs="Times New Roman"/>
          <w:b/>
          <w:sz w:val="32"/>
        </w:rPr>
        <w:t>® first system</w:t>
      </w:r>
    </w:p>
    <w:p w:rsidR="00AE4E9F" w:rsidRDefault="00AE4E9F">
      <w:pPr>
        <w:rPr>
          <w:rFonts w:ascii="Times New Roman" w:hAnsi="Times New Roman" w:cs="Times New Roman"/>
          <w:sz w:val="24"/>
        </w:rPr>
      </w:pPr>
      <w:r w:rsidRPr="00AE4E9F">
        <w:rPr>
          <w:rFonts w:ascii="Times New Roman" w:hAnsi="Times New Roman" w:cs="Times New Roman"/>
          <w:sz w:val="24"/>
        </w:rPr>
        <w:t>Chiara Pavoni</w:t>
      </w:r>
      <w:r w:rsidRPr="00AE4E9F">
        <w:rPr>
          <w:rFonts w:ascii="Times New Roman" w:hAnsi="Times New Roman" w:cs="Times New Roman"/>
          <w:sz w:val="24"/>
          <w:vertAlign w:val="superscript"/>
        </w:rPr>
        <w:t>1</w:t>
      </w:r>
      <w:r>
        <w:rPr>
          <w:rFonts w:ascii="Times New Roman" w:hAnsi="Times New Roman" w:cs="Times New Roman"/>
          <w:sz w:val="24"/>
        </w:rPr>
        <w:t xml:space="preserve">* and </w:t>
      </w:r>
      <w:r w:rsidRPr="00AE4E9F">
        <w:rPr>
          <w:rFonts w:ascii="Times New Roman" w:hAnsi="Times New Roman" w:cs="Times New Roman"/>
          <w:sz w:val="24"/>
        </w:rPr>
        <w:t>Paola Cozza</w:t>
      </w:r>
      <w:r w:rsidRPr="00AE4E9F">
        <w:rPr>
          <w:rFonts w:ascii="Times New Roman" w:hAnsi="Times New Roman" w:cs="Times New Roman"/>
          <w:sz w:val="24"/>
          <w:vertAlign w:val="superscript"/>
        </w:rPr>
        <w:t>2</w:t>
      </w:r>
    </w:p>
    <w:p w:rsidR="00AE4E9F" w:rsidRPr="00AE4E9F" w:rsidRDefault="00AE4E9F" w:rsidP="00AE4E9F">
      <w:pPr>
        <w:spacing w:after="0"/>
        <w:rPr>
          <w:rFonts w:ascii="Times New Roman" w:hAnsi="Times New Roman" w:cs="Times New Roman"/>
        </w:rPr>
      </w:pPr>
      <w:r w:rsidRPr="00AE4E9F">
        <w:rPr>
          <w:rFonts w:ascii="Times New Roman" w:hAnsi="Times New Roman" w:cs="Times New Roman"/>
          <w:vertAlign w:val="superscript"/>
        </w:rPr>
        <w:t>1</w:t>
      </w:r>
      <w:r w:rsidRPr="00AE4E9F">
        <w:rPr>
          <w:rFonts w:ascii="Times New Roman" w:hAnsi="Times New Roman" w:cs="Times New Roman"/>
        </w:rPr>
        <w:t xml:space="preserve">University of Rome Tor </w:t>
      </w:r>
      <w:proofErr w:type="spellStart"/>
      <w:r w:rsidRPr="00AE4E9F">
        <w:rPr>
          <w:rFonts w:ascii="Times New Roman" w:hAnsi="Times New Roman" w:cs="Times New Roman"/>
        </w:rPr>
        <w:t>Vergata</w:t>
      </w:r>
      <w:proofErr w:type="spellEnd"/>
      <w:r w:rsidRPr="00AE4E9F">
        <w:rPr>
          <w:rFonts w:ascii="Times New Roman" w:hAnsi="Times New Roman" w:cs="Times New Roman"/>
        </w:rPr>
        <w:t>, Italy</w:t>
      </w:r>
    </w:p>
    <w:p w:rsidR="00AE4E9F" w:rsidRDefault="00AE4E9F">
      <w:pPr>
        <w:rPr>
          <w:rFonts w:ascii="Times New Roman" w:hAnsi="Times New Roman" w:cs="Times New Roman"/>
        </w:rPr>
      </w:pPr>
      <w:r w:rsidRPr="00AE4E9F">
        <w:rPr>
          <w:rFonts w:ascii="Times New Roman" w:hAnsi="Times New Roman" w:cs="Times New Roman"/>
          <w:vertAlign w:val="superscript"/>
        </w:rPr>
        <w:t>2</w:t>
      </w:r>
      <w:r w:rsidRPr="00AE4E9F">
        <w:rPr>
          <w:rFonts w:ascii="Times New Roman" w:hAnsi="Times New Roman" w:cs="Times New Roman"/>
        </w:rPr>
        <w:t>UniCamillus-Saint Camillus International University of Health Sciences, Italy</w:t>
      </w:r>
    </w:p>
    <w:p w:rsidR="00AE4E9F" w:rsidRPr="00AE4E9F" w:rsidRDefault="00AE4E9F" w:rsidP="00AE4E9F">
      <w:pPr>
        <w:jc w:val="center"/>
        <w:rPr>
          <w:rFonts w:ascii="Times New Roman" w:hAnsi="Times New Roman" w:cs="Times New Roman"/>
          <w:b/>
          <w:sz w:val="24"/>
        </w:rPr>
      </w:pPr>
      <w:r w:rsidRPr="00AE4E9F">
        <w:rPr>
          <w:rFonts w:ascii="Times New Roman" w:hAnsi="Times New Roman" w:cs="Times New Roman"/>
          <w:b/>
          <w:sz w:val="24"/>
        </w:rPr>
        <w:t>Abstract</w:t>
      </w:r>
    </w:p>
    <w:p w:rsidR="00AE4E9F" w:rsidRDefault="00AE4E9F" w:rsidP="00AE4E9F">
      <w:pPr>
        <w:jc w:val="both"/>
        <w:rPr>
          <w:rFonts w:ascii="Times New Roman" w:hAnsi="Times New Roman" w:cs="Times New Roman"/>
          <w:sz w:val="20"/>
        </w:rPr>
      </w:pPr>
      <w:r w:rsidRPr="00AE4E9F">
        <w:rPr>
          <w:rFonts w:ascii="Times New Roman" w:hAnsi="Times New Roman" w:cs="Times New Roman"/>
          <w:b/>
          <w:sz w:val="20"/>
        </w:rPr>
        <w:t>Objective:</w:t>
      </w:r>
      <w:r w:rsidRPr="00AE4E9F">
        <w:rPr>
          <w:rFonts w:ascii="Times New Roman" w:hAnsi="Times New Roman" w:cs="Times New Roman"/>
          <w:sz w:val="20"/>
        </w:rPr>
        <w:t xml:space="preserve"> </w:t>
      </w:r>
      <w:r>
        <w:rPr>
          <w:rFonts w:ascii="Times New Roman" w:hAnsi="Times New Roman" w:cs="Times New Roman"/>
          <w:sz w:val="20"/>
        </w:rPr>
        <w:t>T</w:t>
      </w:r>
      <w:r w:rsidRPr="00AE4E9F">
        <w:rPr>
          <w:rFonts w:ascii="Times New Roman" w:hAnsi="Times New Roman" w:cs="Times New Roman"/>
          <w:sz w:val="20"/>
        </w:rPr>
        <w:t xml:space="preserve">o compare the effects of two different expansion protocols in terms of 2D linear, angular measurements, and 3D analysis of palatal area on digital casts in a group of patients in mixed dentition. </w:t>
      </w:r>
    </w:p>
    <w:p w:rsidR="00AE4E9F" w:rsidRDefault="00AE4E9F" w:rsidP="00AE4E9F">
      <w:pPr>
        <w:jc w:val="both"/>
        <w:rPr>
          <w:rFonts w:ascii="Times New Roman" w:hAnsi="Times New Roman" w:cs="Times New Roman"/>
          <w:sz w:val="20"/>
        </w:rPr>
      </w:pPr>
      <w:r w:rsidRPr="00AE4E9F">
        <w:rPr>
          <w:rFonts w:ascii="Times New Roman" w:hAnsi="Times New Roman" w:cs="Times New Roman"/>
          <w:b/>
          <w:sz w:val="20"/>
        </w:rPr>
        <w:t xml:space="preserve">Materials and </w:t>
      </w:r>
      <w:r w:rsidR="00762BBE">
        <w:rPr>
          <w:rFonts w:ascii="Times New Roman" w:hAnsi="Times New Roman" w:cs="Times New Roman"/>
          <w:b/>
          <w:sz w:val="20"/>
        </w:rPr>
        <w:t>m</w:t>
      </w:r>
      <w:r w:rsidRPr="00AE4E9F">
        <w:rPr>
          <w:rFonts w:ascii="Times New Roman" w:hAnsi="Times New Roman" w:cs="Times New Roman"/>
          <w:b/>
          <w:sz w:val="20"/>
        </w:rPr>
        <w:t>ethods:</w:t>
      </w:r>
      <w:r w:rsidRPr="00AE4E9F">
        <w:rPr>
          <w:rFonts w:ascii="Times New Roman" w:hAnsi="Times New Roman" w:cs="Times New Roman"/>
          <w:sz w:val="20"/>
        </w:rPr>
        <w:t xml:space="preserve"> </w:t>
      </w:r>
      <w:r>
        <w:rPr>
          <w:rFonts w:ascii="Times New Roman" w:hAnsi="Times New Roman" w:cs="Times New Roman"/>
          <w:sz w:val="20"/>
        </w:rPr>
        <w:t>D</w:t>
      </w:r>
      <w:r w:rsidRPr="00AE4E9F">
        <w:rPr>
          <w:rFonts w:ascii="Times New Roman" w:hAnsi="Times New Roman" w:cs="Times New Roman"/>
          <w:sz w:val="20"/>
        </w:rPr>
        <w:t>igital casts of 31 chi</w:t>
      </w:r>
      <w:r>
        <w:rPr>
          <w:rFonts w:ascii="Times New Roman" w:hAnsi="Times New Roman" w:cs="Times New Roman"/>
          <w:sz w:val="20"/>
        </w:rPr>
        <w:t>ldren treated with the RME (RG</w:t>
      </w:r>
      <w:proofErr w:type="gramStart"/>
      <w:r>
        <w:rPr>
          <w:rFonts w:ascii="Times New Roman" w:hAnsi="Times New Roman" w:cs="Times New Roman"/>
          <w:sz w:val="20"/>
        </w:rPr>
        <w:t>:</w:t>
      </w:r>
      <w:r w:rsidRPr="00AE4E9F">
        <w:rPr>
          <w:rFonts w:ascii="Times New Roman" w:hAnsi="Times New Roman" w:cs="Times New Roman"/>
          <w:sz w:val="20"/>
        </w:rPr>
        <w:t>17</w:t>
      </w:r>
      <w:proofErr w:type="gramEnd"/>
      <w:r w:rsidRPr="00AE4E9F">
        <w:rPr>
          <w:rFonts w:ascii="Times New Roman" w:hAnsi="Times New Roman" w:cs="Times New Roman"/>
          <w:sz w:val="20"/>
        </w:rPr>
        <w:t xml:space="preserve"> subjects)</w:t>
      </w:r>
      <w:r>
        <w:rPr>
          <w:rFonts w:ascii="Times New Roman" w:hAnsi="Times New Roman" w:cs="Times New Roman"/>
          <w:sz w:val="20"/>
        </w:rPr>
        <w:t>, or with the First System (FG:</w:t>
      </w:r>
      <w:r w:rsidRPr="00AE4E9F">
        <w:rPr>
          <w:rFonts w:ascii="Times New Roman" w:hAnsi="Times New Roman" w:cs="Times New Roman"/>
          <w:sz w:val="20"/>
        </w:rPr>
        <w:t>15 subjects) were collected. Linear and angular transversal values were measured in both groups on the upper arch for each T1 and T2 models. In order to measure palatal area, a gingival and a distal plane were used as boundaries for the palate. Unpaired t-test was used to test significant differences between groups.</w:t>
      </w:r>
      <w:r w:rsidR="00333A4C">
        <w:rPr>
          <w:rFonts w:ascii="Times New Roman" w:hAnsi="Times New Roman" w:cs="Times New Roman"/>
          <w:sz w:val="20"/>
        </w:rPr>
        <w:t xml:space="preserve"> </w:t>
      </w:r>
    </w:p>
    <w:p w:rsidR="00AE4E9F" w:rsidRDefault="00AE4E9F" w:rsidP="00AE4E9F">
      <w:pPr>
        <w:jc w:val="both"/>
        <w:rPr>
          <w:rFonts w:ascii="Times New Roman" w:hAnsi="Times New Roman" w:cs="Times New Roman"/>
          <w:sz w:val="20"/>
        </w:rPr>
      </w:pPr>
      <w:r w:rsidRPr="00AE4E9F">
        <w:rPr>
          <w:rFonts w:ascii="Times New Roman" w:hAnsi="Times New Roman" w:cs="Times New Roman"/>
          <w:b/>
          <w:sz w:val="20"/>
        </w:rPr>
        <w:t>Results:</w:t>
      </w:r>
      <w:r w:rsidRPr="00AE4E9F">
        <w:rPr>
          <w:rFonts w:ascii="Times New Roman" w:hAnsi="Times New Roman" w:cs="Times New Roman"/>
          <w:sz w:val="20"/>
        </w:rPr>
        <w:t xml:space="preserve"> </w:t>
      </w:r>
      <w:r>
        <w:rPr>
          <w:rFonts w:ascii="Times New Roman" w:hAnsi="Times New Roman" w:cs="Times New Roman"/>
          <w:sz w:val="20"/>
        </w:rPr>
        <w:t>T</w:t>
      </w:r>
      <w:r w:rsidRPr="00AE4E9F">
        <w:rPr>
          <w:rFonts w:ascii="Times New Roman" w:hAnsi="Times New Roman" w:cs="Times New Roman"/>
          <w:sz w:val="20"/>
        </w:rPr>
        <w:t xml:space="preserve">he comparison of T2-T1 changes for linear measurements between groups showed significant differences in the inter-canine width (+1.5 in FG), in the first inter-deciduous molar width (+1.5 in FG), in the first inter-molar distal width (-1.2 in FG), in the inter-canine </w:t>
      </w:r>
      <w:proofErr w:type="spellStart"/>
      <w:r w:rsidRPr="00AE4E9F">
        <w:rPr>
          <w:rFonts w:ascii="Times New Roman" w:hAnsi="Times New Roman" w:cs="Times New Roman"/>
          <w:sz w:val="20"/>
        </w:rPr>
        <w:t>transpalatal</w:t>
      </w:r>
      <w:proofErr w:type="spellEnd"/>
      <w:r w:rsidRPr="00AE4E9F">
        <w:rPr>
          <w:rFonts w:ascii="Times New Roman" w:hAnsi="Times New Roman" w:cs="Times New Roman"/>
          <w:sz w:val="20"/>
        </w:rPr>
        <w:t xml:space="preserve"> width (+1.5 in FG) and in the first inter-deciduous molar </w:t>
      </w:r>
      <w:proofErr w:type="spellStart"/>
      <w:r w:rsidRPr="00AE4E9F">
        <w:rPr>
          <w:rFonts w:ascii="Times New Roman" w:hAnsi="Times New Roman" w:cs="Times New Roman"/>
          <w:sz w:val="20"/>
        </w:rPr>
        <w:t>transpalatal</w:t>
      </w:r>
      <w:proofErr w:type="spellEnd"/>
      <w:r w:rsidRPr="00AE4E9F">
        <w:rPr>
          <w:rFonts w:ascii="Times New Roman" w:hAnsi="Times New Roman" w:cs="Times New Roman"/>
          <w:sz w:val="20"/>
        </w:rPr>
        <w:t xml:space="preserve"> width (+1.4 in FG)</w:t>
      </w:r>
      <w:r w:rsidR="00823A77">
        <w:rPr>
          <w:rFonts w:ascii="Times New Roman" w:hAnsi="Times New Roman" w:cs="Times New Roman"/>
          <w:sz w:val="20"/>
        </w:rPr>
        <w:t xml:space="preserve"> </w:t>
      </w:r>
      <w:r w:rsidR="00823A77">
        <w:rPr>
          <w:rFonts w:ascii="Times New Roman" w:hAnsi="Times New Roman" w:cs="Times New Roman"/>
          <w:sz w:val="20"/>
        </w:rPr>
        <w:t xml:space="preserve">[Figure </w:t>
      </w:r>
      <w:r w:rsidR="00823A77">
        <w:rPr>
          <w:rFonts w:ascii="Times New Roman" w:hAnsi="Times New Roman" w:cs="Times New Roman"/>
          <w:sz w:val="20"/>
        </w:rPr>
        <w:t>1</w:t>
      </w:r>
      <w:r w:rsidR="00823A77">
        <w:rPr>
          <w:rFonts w:ascii="Times New Roman" w:hAnsi="Times New Roman" w:cs="Times New Roman"/>
          <w:sz w:val="20"/>
        </w:rPr>
        <w:t>]</w:t>
      </w:r>
      <w:r w:rsidRPr="00AE4E9F">
        <w:rPr>
          <w:rFonts w:ascii="Times New Roman" w:hAnsi="Times New Roman" w:cs="Times New Roman"/>
          <w:sz w:val="20"/>
        </w:rPr>
        <w:t>. The analysis of angular measurements showed a significant increase of the crown angulation for all the teeth in FG except for the first molars, which</w:t>
      </w:r>
      <w:bookmarkStart w:id="0" w:name="_GoBack"/>
      <w:bookmarkEnd w:id="0"/>
      <w:r w:rsidRPr="00AE4E9F">
        <w:rPr>
          <w:rFonts w:ascii="Times New Roman" w:hAnsi="Times New Roman" w:cs="Times New Roman"/>
          <w:sz w:val="20"/>
        </w:rPr>
        <w:t xml:space="preserve"> showed a reduction of this parameter</w:t>
      </w:r>
      <w:r w:rsidR="00823A77">
        <w:rPr>
          <w:rFonts w:ascii="Times New Roman" w:hAnsi="Times New Roman" w:cs="Times New Roman"/>
          <w:sz w:val="20"/>
        </w:rPr>
        <w:t xml:space="preserve"> [Figure 2]</w:t>
      </w:r>
      <w:r w:rsidRPr="00AE4E9F">
        <w:rPr>
          <w:rFonts w:ascii="Times New Roman" w:hAnsi="Times New Roman" w:cs="Times New Roman"/>
          <w:sz w:val="20"/>
        </w:rPr>
        <w:t>. FG patients showed a greater increase of the palatal area</w:t>
      </w:r>
      <w:r w:rsidR="00823A77">
        <w:rPr>
          <w:rFonts w:ascii="Times New Roman" w:hAnsi="Times New Roman" w:cs="Times New Roman"/>
          <w:sz w:val="20"/>
        </w:rPr>
        <w:t xml:space="preserve"> </w:t>
      </w:r>
      <w:r w:rsidR="00823A77">
        <w:rPr>
          <w:rFonts w:ascii="Times New Roman" w:hAnsi="Times New Roman" w:cs="Times New Roman"/>
          <w:sz w:val="20"/>
        </w:rPr>
        <w:t xml:space="preserve">[Figure </w:t>
      </w:r>
      <w:r w:rsidR="00823A77">
        <w:rPr>
          <w:rFonts w:ascii="Times New Roman" w:hAnsi="Times New Roman" w:cs="Times New Roman"/>
          <w:sz w:val="20"/>
        </w:rPr>
        <w:t>3</w:t>
      </w:r>
      <w:r w:rsidR="00823A77">
        <w:rPr>
          <w:rFonts w:ascii="Times New Roman" w:hAnsi="Times New Roman" w:cs="Times New Roman"/>
          <w:sz w:val="20"/>
        </w:rPr>
        <w:t>]</w:t>
      </w:r>
      <w:r w:rsidRPr="00AE4E9F">
        <w:rPr>
          <w:rFonts w:ascii="Times New Roman" w:hAnsi="Times New Roman" w:cs="Times New Roman"/>
          <w:sz w:val="20"/>
        </w:rPr>
        <w:t xml:space="preserve">. </w:t>
      </w:r>
    </w:p>
    <w:p w:rsidR="00AE4E9F" w:rsidRDefault="00AE4E9F" w:rsidP="00AE4E9F">
      <w:pPr>
        <w:jc w:val="both"/>
        <w:rPr>
          <w:rFonts w:ascii="Times New Roman" w:hAnsi="Times New Roman" w:cs="Times New Roman"/>
          <w:sz w:val="20"/>
        </w:rPr>
      </w:pPr>
      <w:r w:rsidRPr="00AE4E9F">
        <w:rPr>
          <w:rFonts w:ascii="Times New Roman" w:hAnsi="Times New Roman" w:cs="Times New Roman"/>
          <w:b/>
          <w:sz w:val="20"/>
        </w:rPr>
        <w:t>Conclusion:</w:t>
      </w:r>
      <w:r w:rsidRPr="00AE4E9F">
        <w:rPr>
          <w:rFonts w:ascii="Times New Roman" w:hAnsi="Times New Roman" w:cs="Times New Roman"/>
          <w:sz w:val="20"/>
        </w:rPr>
        <w:t xml:space="preserve"> First System proved to be efficient in the expansion of the maxillary arch with a better control of the upper first molars crown angulation when compared with the RME and with a greater increase of the palatal area</w:t>
      </w:r>
      <w:r>
        <w:rPr>
          <w:rFonts w:ascii="Times New Roman" w:hAnsi="Times New Roman" w:cs="Times New Roman"/>
          <w:sz w:val="20"/>
        </w:rPr>
        <w:t>.</w:t>
      </w:r>
    </w:p>
    <w:p w:rsidR="00AE4E9F" w:rsidRDefault="00AE4E9F" w:rsidP="00AE4E9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1466FF0">
            <wp:extent cx="1426845" cy="98742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6845" cy="987425"/>
                    </a:xfrm>
                    <a:prstGeom prst="rect">
                      <a:avLst/>
                    </a:prstGeom>
                    <a:noFill/>
                  </pic:spPr>
                </pic:pic>
              </a:graphicData>
            </a:graphic>
          </wp:inline>
        </w:drawing>
      </w:r>
    </w:p>
    <w:p w:rsidR="00AE4E9F" w:rsidRPr="00AE4E9F" w:rsidRDefault="00AE4E9F" w:rsidP="00AE4E9F">
      <w:pPr>
        <w:jc w:val="center"/>
        <w:rPr>
          <w:rFonts w:ascii="Times New Roman" w:hAnsi="Times New Roman" w:cs="Times New Roman"/>
          <w:i/>
          <w:sz w:val="18"/>
        </w:rPr>
      </w:pPr>
      <w:proofErr w:type="gramStart"/>
      <w:r w:rsidRPr="00AE4E9F">
        <w:rPr>
          <w:rFonts w:ascii="Times New Roman" w:hAnsi="Times New Roman" w:cs="Times New Roman"/>
          <w:b/>
          <w:i/>
          <w:sz w:val="18"/>
        </w:rPr>
        <w:t>Figure 1.</w:t>
      </w:r>
      <w:proofErr w:type="gramEnd"/>
      <w:r w:rsidRPr="00AE4E9F">
        <w:rPr>
          <w:rFonts w:ascii="Times New Roman" w:hAnsi="Times New Roman" w:cs="Times New Roman"/>
          <w:i/>
          <w:sz w:val="18"/>
        </w:rPr>
        <w:t xml:space="preserve"> </w:t>
      </w:r>
      <w:proofErr w:type="gramStart"/>
      <w:r w:rsidRPr="00AE4E9F">
        <w:rPr>
          <w:rFonts w:ascii="Times New Roman" w:hAnsi="Times New Roman" w:cs="Times New Roman"/>
          <w:i/>
          <w:sz w:val="18"/>
        </w:rPr>
        <w:t>Upper maxillary arch linear measurements.</w:t>
      </w:r>
      <w:proofErr w:type="gramEnd"/>
    </w:p>
    <w:p w:rsidR="00AE4E9F" w:rsidRDefault="00AE4E9F" w:rsidP="00AE4E9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D234A8">
            <wp:extent cx="1798320" cy="878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8320" cy="878205"/>
                    </a:xfrm>
                    <a:prstGeom prst="rect">
                      <a:avLst/>
                    </a:prstGeom>
                    <a:noFill/>
                  </pic:spPr>
                </pic:pic>
              </a:graphicData>
            </a:graphic>
          </wp:inline>
        </w:drawing>
      </w:r>
    </w:p>
    <w:p w:rsidR="00AE4E9F" w:rsidRPr="00AE4E9F" w:rsidRDefault="00AE4E9F" w:rsidP="00AE4E9F">
      <w:pPr>
        <w:jc w:val="center"/>
        <w:rPr>
          <w:rFonts w:ascii="Times New Roman" w:hAnsi="Times New Roman" w:cs="Times New Roman"/>
          <w:i/>
          <w:sz w:val="18"/>
        </w:rPr>
      </w:pPr>
      <w:proofErr w:type="gramStart"/>
      <w:r w:rsidRPr="00AE4E9F">
        <w:rPr>
          <w:rFonts w:ascii="Times New Roman" w:hAnsi="Times New Roman" w:cs="Times New Roman"/>
          <w:b/>
          <w:i/>
          <w:sz w:val="18"/>
        </w:rPr>
        <w:t xml:space="preserve">Figure </w:t>
      </w:r>
      <w:r w:rsidRPr="00AE4E9F">
        <w:rPr>
          <w:rFonts w:ascii="Times New Roman" w:hAnsi="Times New Roman" w:cs="Times New Roman"/>
          <w:b/>
          <w:i/>
          <w:sz w:val="18"/>
        </w:rPr>
        <w:t>2</w:t>
      </w:r>
      <w:r w:rsidRPr="00AE4E9F">
        <w:rPr>
          <w:rFonts w:ascii="Times New Roman" w:hAnsi="Times New Roman" w:cs="Times New Roman"/>
          <w:b/>
          <w:i/>
          <w:sz w:val="18"/>
        </w:rPr>
        <w:t>.</w:t>
      </w:r>
      <w:proofErr w:type="gramEnd"/>
      <w:r w:rsidRPr="00AE4E9F">
        <w:rPr>
          <w:rFonts w:ascii="Times New Roman" w:hAnsi="Times New Roman" w:cs="Times New Roman"/>
          <w:i/>
          <w:sz w:val="18"/>
        </w:rPr>
        <w:t xml:space="preserve"> </w:t>
      </w:r>
      <w:proofErr w:type="gramStart"/>
      <w:r w:rsidRPr="00AE4E9F">
        <w:rPr>
          <w:rFonts w:ascii="Times New Roman" w:hAnsi="Times New Roman" w:cs="Times New Roman"/>
          <w:i/>
          <w:sz w:val="18"/>
        </w:rPr>
        <w:t>Crown angular measurements.</w:t>
      </w:r>
      <w:proofErr w:type="gramEnd"/>
    </w:p>
    <w:p w:rsidR="00AE4E9F" w:rsidRDefault="00AE4E9F" w:rsidP="00AE4E9F">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2E1008EE">
            <wp:extent cx="1487805" cy="11398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7805" cy="1139825"/>
                    </a:xfrm>
                    <a:prstGeom prst="rect">
                      <a:avLst/>
                    </a:prstGeom>
                    <a:noFill/>
                  </pic:spPr>
                </pic:pic>
              </a:graphicData>
            </a:graphic>
          </wp:inline>
        </w:drawing>
      </w:r>
    </w:p>
    <w:p w:rsidR="00AE4E9F" w:rsidRDefault="00AE4E9F" w:rsidP="00AE4E9F">
      <w:pPr>
        <w:jc w:val="center"/>
        <w:rPr>
          <w:rFonts w:ascii="Times New Roman" w:hAnsi="Times New Roman" w:cs="Times New Roman"/>
          <w:i/>
          <w:sz w:val="18"/>
        </w:rPr>
      </w:pPr>
      <w:proofErr w:type="gramStart"/>
      <w:r w:rsidRPr="00AE4E9F">
        <w:rPr>
          <w:rFonts w:ascii="Times New Roman" w:hAnsi="Times New Roman" w:cs="Times New Roman"/>
          <w:b/>
          <w:i/>
          <w:sz w:val="18"/>
        </w:rPr>
        <w:t>Figure 3.</w:t>
      </w:r>
      <w:proofErr w:type="gramEnd"/>
      <w:r w:rsidRPr="00AE4E9F">
        <w:rPr>
          <w:rFonts w:ascii="Times New Roman" w:hAnsi="Times New Roman" w:cs="Times New Roman"/>
          <w:i/>
          <w:sz w:val="18"/>
        </w:rPr>
        <w:t xml:space="preserve"> </w:t>
      </w:r>
      <w:proofErr w:type="gramStart"/>
      <w:r w:rsidRPr="00AE4E9F">
        <w:rPr>
          <w:rFonts w:ascii="Times New Roman" w:hAnsi="Times New Roman" w:cs="Times New Roman"/>
          <w:i/>
          <w:sz w:val="18"/>
        </w:rPr>
        <w:t>Definition of the palatal area (orange) of the maxilla.</w:t>
      </w:r>
      <w:proofErr w:type="gramEnd"/>
    </w:p>
    <w:p w:rsidR="00AE4E9F" w:rsidRPr="00AE4E9F" w:rsidRDefault="00AE4E9F" w:rsidP="00AE4E9F">
      <w:pPr>
        <w:rPr>
          <w:rFonts w:ascii="Times New Roman" w:hAnsi="Times New Roman" w:cs="Times New Roman"/>
          <w:b/>
          <w:sz w:val="24"/>
        </w:rPr>
      </w:pPr>
      <w:r w:rsidRPr="00AE4E9F">
        <w:rPr>
          <w:rFonts w:ascii="Times New Roman" w:hAnsi="Times New Roman" w:cs="Times New Roman"/>
          <w:b/>
          <w:sz w:val="24"/>
        </w:rPr>
        <w:t>Biography</w:t>
      </w:r>
    </w:p>
    <w:p w:rsidR="00AE4E9F" w:rsidRPr="00AE4E9F" w:rsidRDefault="00AE4E9F" w:rsidP="00AE4E9F">
      <w:pPr>
        <w:jc w:val="both"/>
        <w:rPr>
          <w:rFonts w:ascii="Times New Roman" w:hAnsi="Times New Roman" w:cs="Times New Roman"/>
          <w:sz w:val="20"/>
        </w:rPr>
      </w:pPr>
      <w:r w:rsidRPr="00AE4E9F">
        <w:rPr>
          <w:rFonts w:ascii="Times New Roman" w:hAnsi="Times New Roman" w:cs="Times New Roman"/>
          <w:sz w:val="20"/>
        </w:rPr>
        <w:t xml:space="preserve">I have a broad background in Orthodontics and biomechanical teeth movements, with specific training and expertise in </w:t>
      </w:r>
      <w:proofErr w:type="spellStart"/>
      <w:r w:rsidRPr="00AE4E9F">
        <w:rPr>
          <w:rFonts w:ascii="Times New Roman" w:hAnsi="Times New Roman" w:cs="Times New Roman"/>
          <w:sz w:val="20"/>
        </w:rPr>
        <w:t>cranio</w:t>
      </w:r>
      <w:proofErr w:type="spellEnd"/>
      <w:r w:rsidRPr="00AE4E9F">
        <w:rPr>
          <w:rFonts w:ascii="Times New Roman" w:hAnsi="Times New Roman" w:cs="Times New Roman"/>
          <w:sz w:val="20"/>
        </w:rPr>
        <w:t xml:space="preserve">-facial growth and orthopedic treatment in growing patients. My research includes the behavior of the growth factors, the directionality of the growing facial structures and undergoing orthodontic treatment, the cellular and structural potential of response to orthodontic treatment in growing patients, the new approaches of maxillofacial surgery with three-dimensional visualization, modern conceptions the tooth movement in three-dimensional software, new protocols and new approaches to orthodontic treatment for the resolution of the most complex malocclusions. I laid the groundwork for the proposed research by developing my personal ability to handle well three-dimensional visualization software (as used by </w:t>
      </w:r>
      <w:proofErr w:type="spellStart"/>
      <w:r w:rsidRPr="00AE4E9F">
        <w:rPr>
          <w:rFonts w:ascii="Times New Roman" w:hAnsi="Times New Roman" w:cs="Times New Roman"/>
          <w:sz w:val="20"/>
        </w:rPr>
        <w:t>AlignTechnology</w:t>
      </w:r>
      <w:proofErr w:type="spellEnd"/>
      <w:r w:rsidRPr="00AE4E9F">
        <w:rPr>
          <w:rFonts w:ascii="Times New Roman" w:hAnsi="Times New Roman" w:cs="Times New Roman"/>
          <w:sz w:val="20"/>
        </w:rPr>
        <w:t>) and having excellent knowledge of biomechanical orthodontic. This knowledge, which come from many years of clinical orthodontics with MBT technique, they are integrated with the latest knowledge of pure mechanical engineering and 3D design</w:t>
      </w:r>
      <w:r>
        <w:rPr>
          <w:rFonts w:ascii="Times New Roman" w:hAnsi="Times New Roman" w:cs="Times New Roman"/>
          <w:sz w:val="20"/>
        </w:rPr>
        <w:t>.</w:t>
      </w:r>
    </w:p>
    <w:sectPr w:rsidR="00AE4E9F" w:rsidRPr="00AE4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E9F"/>
    <w:rsid w:val="00333A4C"/>
    <w:rsid w:val="00474203"/>
    <w:rsid w:val="00535872"/>
    <w:rsid w:val="00762BBE"/>
    <w:rsid w:val="00823A77"/>
    <w:rsid w:val="00924B33"/>
    <w:rsid w:val="00AE4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E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4E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2022-08-27T05:43:00Z</dcterms:created>
  <dcterms:modified xsi:type="dcterms:W3CDTF">2022-08-27T05:56:00Z</dcterms:modified>
</cp:coreProperties>
</file>