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DEE347" w14:textId="670449DE" w:rsidR="009D7029" w:rsidRPr="000C2364" w:rsidRDefault="006C4052" w:rsidP="000C2364">
      <w:pPr>
        <w:spacing w:after="200"/>
        <w:rPr>
          <w:rFonts w:ascii="Times New Roman" w:hAnsi="Times New Roman" w:cs="Times New Roman"/>
          <w:b/>
          <w:bCs/>
          <w:color w:val="000000" w:themeColor="text1"/>
          <w:sz w:val="32"/>
          <w:szCs w:val="28"/>
          <w:shd w:val="clear" w:color="auto" w:fill="FFFFFF"/>
        </w:rPr>
      </w:pPr>
      <w:r w:rsidRPr="000C2364">
        <w:rPr>
          <w:rFonts w:ascii="Times New Roman" w:hAnsi="Times New Roman" w:cs="Times New Roman"/>
          <w:b/>
          <w:bCs/>
          <w:color w:val="000000" w:themeColor="text1"/>
          <w:sz w:val="32"/>
          <w:szCs w:val="28"/>
          <w:shd w:val="clear" w:color="auto" w:fill="FFFFFF"/>
        </w:rPr>
        <w:t>N</w:t>
      </w:r>
      <w:r w:rsidR="00215FF5" w:rsidRPr="000C2364">
        <w:rPr>
          <w:rFonts w:ascii="Times New Roman" w:hAnsi="Times New Roman" w:cs="Times New Roman"/>
          <w:b/>
          <w:bCs/>
          <w:color w:val="000000" w:themeColor="text1"/>
          <w:sz w:val="32"/>
          <w:szCs w:val="28"/>
          <w:shd w:val="clear" w:color="auto" w:fill="FFFFFF"/>
        </w:rPr>
        <w:t xml:space="preserve">ew </w:t>
      </w:r>
      <w:r w:rsidRPr="000C2364">
        <w:rPr>
          <w:rFonts w:ascii="Times New Roman" w:hAnsi="Times New Roman" w:cs="Times New Roman"/>
          <w:b/>
          <w:bCs/>
          <w:color w:val="000000" w:themeColor="text1"/>
          <w:sz w:val="32"/>
          <w:szCs w:val="28"/>
          <w:shd w:val="clear" w:color="auto" w:fill="FFFFFF"/>
        </w:rPr>
        <w:t xml:space="preserve">GLP1A </w:t>
      </w:r>
      <w:r w:rsidR="00215FF5" w:rsidRPr="000C2364">
        <w:rPr>
          <w:rFonts w:ascii="Times New Roman" w:hAnsi="Times New Roman" w:cs="Times New Roman"/>
          <w:b/>
          <w:bCs/>
          <w:color w:val="000000" w:themeColor="text1"/>
          <w:sz w:val="32"/>
          <w:szCs w:val="28"/>
          <w:shd w:val="clear" w:color="auto" w:fill="FFFFFF"/>
        </w:rPr>
        <w:t>and</w:t>
      </w:r>
      <w:r w:rsidRPr="000C2364">
        <w:rPr>
          <w:rFonts w:ascii="Times New Roman" w:hAnsi="Times New Roman" w:cs="Times New Roman"/>
          <w:b/>
          <w:bCs/>
          <w:color w:val="000000" w:themeColor="text1"/>
          <w:sz w:val="32"/>
          <w:szCs w:val="28"/>
          <w:shd w:val="clear" w:color="auto" w:fill="FFFFFF"/>
        </w:rPr>
        <w:t xml:space="preserve"> </w:t>
      </w:r>
      <w:r w:rsidR="00215FF5" w:rsidRPr="000C2364">
        <w:rPr>
          <w:rFonts w:ascii="Times New Roman" w:hAnsi="Times New Roman" w:cs="Times New Roman"/>
          <w:b/>
          <w:bCs/>
          <w:color w:val="000000" w:themeColor="text1"/>
          <w:sz w:val="32"/>
          <w:szCs w:val="28"/>
          <w:shd w:val="clear" w:color="auto" w:fill="FFFFFF"/>
        </w:rPr>
        <w:t>diabetes controlle</w:t>
      </w:r>
      <w:r w:rsidR="00A909EA" w:rsidRPr="000C2364">
        <w:rPr>
          <w:rFonts w:ascii="Times New Roman" w:hAnsi="Times New Roman" w:cs="Times New Roman"/>
          <w:b/>
          <w:bCs/>
          <w:color w:val="000000" w:themeColor="text1"/>
          <w:sz w:val="32"/>
          <w:szCs w:val="28"/>
          <w:shd w:val="clear" w:color="auto" w:fill="FFFFFF"/>
        </w:rPr>
        <w:t>d</w:t>
      </w:r>
    </w:p>
    <w:p w14:paraId="4A259ED5" w14:textId="61A12725" w:rsidR="000C2364" w:rsidRDefault="000C2364" w:rsidP="000C2364">
      <w:pPr>
        <w:spacing w:after="20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Hazem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Rayyan</w:t>
      </w:r>
      <w:proofErr w:type="spellEnd"/>
    </w:p>
    <w:p w14:paraId="79C202DD" w14:textId="204B23A7" w:rsidR="00021E1A" w:rsidRPr="000C2364" w:rsidRDefault="009D320D" w:rsidP="000C2364">
      <w:pPr>
        <w:spacing w:after="200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0C2364">
        <w:rPr>
          <w:rFonts w:ascii="Times New Roman" w:hAnsi="Times New Roman" w:cs="Times New Roman"/>
          <w:color w:val="000000" w:themeColor="text1"/>
          <w:szCs w:val="24"/>
        </w:rPr>
        <w:t xml:space="preserve">King Salman </w:t>
      </w:r>
      <w:r w:rsidR="007444E1" w:rsidRPr="000C2364">
        <w:rPr>
          <w:rFonts w:ascii="Times New Roman" w:hAnsi="Times New Roman" w:cs="Times New Roman"/>
          <w:color w:val="000000" w:themeColor="text1"/>
          <w:szCs w:val="24"/>
        </w:rPr>
        <w:t>Military Hospital</w:t>
      </w:r>
      <w:r w:rsidRPr="000C2364"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r w:rsidR="00215FF5" w:rsidRPr="000C2364">
        <w:rPr>
          <w:rFonts w:ascii="Times New Roman" w:hAnsi="Times New Roman" w:cs="Times New Roman"/>
          <w:color w:val="000000" w:themeColor="text1"/>
          <w:szCs w:val="24"/>
        </w:rPr>
        <w:t>Saudi Arabia</w:t>
      </w:r>
    </w:p>
    <w:p w14:paraId="24306629" w14:textId="4AD872A7" w:rsidR="009D320D" w:rsidRPr="009D320D" w:rsidRDefault="00021E1A" w:rsidP="000C2364">
      <w:pPr>
        <w:spacing w:after="20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2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="009D320D" w:rsidRPr="009D32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bstract</w:t>
      </w:r>
    </w:p>
    <w:p w14:paraId="22F4E3F4" w14:textId="6B2FF11D" w:rsidR="00021E1A" w:rsidRPr="000C2364" w:rsidRDefault="00021E1A" w:rsidP="000C2364">
      <w:pPr>
        <w:spacing w:after="20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</w:pPr>
      <w:commentRangeStart w:id="0"/>
      <w:r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The </w:t>
      </w:r>
      <w:r w:rsidR="000C2364"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Glucagon-Like Peptide-1 Receptor Agonist </w:t>
      </w:r>
      <w:r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(GLP-1RA) </w:t>
      </w:r>
      <w:proofErr w:type="spellStart"/>
      <w:r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>semaglutide</w:t>
      </w:r>
      <w:proofErr w:type="spellEnd"/>
      <w:r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 is the most recently approved agent of this drug class, and the only GLP-1RA currently available as both subcutaneous and oral formulation.</w:t>
      </w:r>
    </w:p>
    <w:p w14:paraId="27D9D14C" w14:textId="36674570" w:rsidR="00021E1A" w:rsidRPr="000C2364" w:rsidRDefault="00021E1A" w:rsidP="000C2364">
      <w:pPr>
        <w:spacing w:after="20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</w:pPr>
      <w:r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>While GLP-1RAs effectively improve glycemic control and cause weight loss, potential safety concerns have arisen over the years.</w:t>
      </w:r>
    </w:p>
    <w:p w14:paraId="66A91661" w14:textId="7E62BDC4" w:rsidR="009D320D" w:rsidRPr="000C2364" w:rsidRDefault="00021E1A" w:rsidP="000C2364">
      <w:pPr>
        <w:pStyle w:val="NormalWeb"/>
        <w:spacing w:before="0" w:beforeAutospacing="0" w:after="200" w:afterAutospacing="0"/>
        <w:jc w:val="both"/>
        <w:rPr>
          <w:color w:val="000000" w:themeColor="text1"/>
          <w:sz w:val="20"/>
          <w:shd w:val="clear" w:color="auto" w:fill="FFFFFF"/>
        </w:rPr>
      </w:pPr>
      <w:r w:rsidRPr="000C2364">
        <w:rPr>
          <w:color w:val="000000" w:themeColor="text1"/>
          <w:sz w:val="20"/>
          <w:shd w:val="clear" w:color="auto" w:fill="FFFFFF"/>
        </w:rPr>
        <w:t xml:space="preserve">For </w:t>
      </w:r>
      <w:proofErr w:type="spellStart"/>
      <w:r w:rsidRPr="000C2364">
        <w:rPr>
          <w:color w:val="000000" w:themeColor="text1"/>
          <w:sz w:val="20"/>
          <w:shd w:val="clear" w:color="auto" w:fill="FFFFFF"/>
        </w:rPr>
        <w:t>semaglutide</w:t>
      </w:r>
      <w:proofErr w:type="spellEnd"/>
      <w:r w:rsidRPr="000C2364">
        <w:rPr>
          <w:color w:val="000000" w:themeColor="text1"/>
          <w:sz w:val="20"/>
          <w:shd w:val="clear" w:color="auto" w:fill="FFFFFF"/>
        </w:rPr>
        <w:t xml:space="preserve">, such concerns have been addressed in the extensive phase 3 registration trials including cardiovascular outcome trials for both subcutaneous (SUSTAIN: </w:t>
      </w:r>
      <w:proofErr w:type="spellStart"/>
      <w:r w:rsidRPr="000C2364">
        <w:rPr>
          <w:color w:val="000000" w:themeColor="text1"/>
          <w:sz w:val="20"/>
          <w:shd w:val="clear" w:color="auto" w:fill="FFFFFF"/>
        </w:rPr>
        <w:t>Semaglutide</w:t>
      </w:r>
      <w:proofErr w:type="spellEnd"/>
      <w:r w:rsidRPr="000C2364">
        <w:rPr>
          <w:color w:val="000000" w:themeColor="text1"/>
          <w:sz w:val="20"/>
          <w:shd w:val="clear" w:color="auto" w:fill="FFFFFF"/>
        </w:rPr>
        <w:t xml:space="preserve"> Unabated Sustainability in Treatment of Type 2 Diabetes) and oral (PIONEER: Peptide </w:t>
      </w:r>
      <w:r w:rsidR="000C2364" w:rsidRPr="000C2364">
        <w:rPr>
          <w:color w:val="000000" w:themeColor="text1"/>
          <w:sz w:val="20"/>
          <w:shd w:val="clear" w:color="auto" w:fill="FFFFFF"/>
        </w:rPr>
        <w:t>Innovation</w:t>
      </w:r>
      <w:r w:rsidRPr="000C2364">
        <w:rPr>
          <w:color w:val="000000" w:themeColor="text1"/>
          <w:sz w:val="20"/>
          <w:shd w:val="clear" w:color="auto" w:fill="FFFFFF"/>
        </w:rPr>
        <w:t xml:space="preserve"> for the Early </w:t>
      </w:r>
      <w:r w:rsidR="000C2364" w:rsidRPr="000C2364">
        <w:rPr>
          <w:color w:val="000000" w:themeColor="text1"/>
          <w:sz w:val="20"/>
          <w:shd w:val="clear" w:color="auto" w:fill="FFFFFF"/>
        </w:rPr>
        <w:t>diabetes</w:t>
      </w:r>
      <w:r w:rsidRPr="000C2364">
        <w:rPr>
          <w:color w:val="000000" w:themeColor="text1"/>
          <w:sz w:val="20"/>
          <w:shd w:val="clear" w:color="auto" w:fill="FFFFFF"/>
        </w:rPr>
        <w:t xml:space="preserve"> </w:t>
      </w:r>
      <w:r w:rsidR="000C2364" w:rsidRPr="000C2364">
        <w:rPr>
          <w:color w:val="000000" w:themeColor="text1"/>
          <w:sz w:val="20"/>
          <w:shd w:val="clear" w:color="auto" w:fill="FFFFFF"/>
        </w:rPr>
        <w:t>treatment</w:t>
      </w:r>
      <w:r w:rsidRPr="000C2364">
        <w:rPr>
          <w:color w:val="000000" w:themeColor="text1"/>
          <w:sz w:val="20"/>
          <w:shd w:val="clear" w:color="auto" w:fill="FFFFFF"/>
        </w:rPr>
        <w:t xml:space="preserve">) </w:t>
      </w:r>
      <w:proofErr w:type="spellStart"/>
      <w:r w:rsidRPr="000C2364">
        <w:rPr>
          <w:color w:val="000000" w:themeColor="text1"/>
          <w:sz w:val="20"/>
          <w:shd w:val="clear" w:color="auto" w:fill="FFFFFF"/>
        </w:rPr>
        <w:t>semaglutide</w:t>
      </w:r>
      <w:proofErr w:type="spellEnd"/>
      <w:r w:rsidRPr="000C2364">
        <w:rPr>
          <w:color w:val="000000" w:themeColor="text1"/>
          <w:sz w:val="20"/>
          <w:shd w:val="clear" w:color="auto" w:fill="FFFFFF"/>
        </w:rPr>
        <w:t xml:space="preserve"> and are being studied in further trials and registries, inc</w:t>
      </w:r>
      <w:r w:rsidR="006C4052" w:rsidRPr="000C2364">
        <w:rPr>
          <w:color w:val="000000" w:themeColor="text1"/>
          <w:sz w:val="20"/>
          <w:shd w:val="clear" w:color="auto" w:fill="FFFFFF"/>
        </w:rPr>
        <w:t>luding real world data studies.</w:t>
      </w:r>
      <w:commentRangeEnd w:id="0"/>
      <w:r w:rsidR="008C3BEA">
        <w:rPr>
          <w:rStyle w:val="CommentReference"/>
          <w:rFonts w:asciiTheme="minorHAnsi" w:eastAsiaTheme="minorHAnsi" w:hAnsiTheme="minorHAnsi" w:cstheme="minorBidi"/>
        </w:rPr>
        <w:commentReference w:id="0"/>
      </w:r>
    </w:p>
    <w:p w14:paraId="11BA0D11" w14:textId="2D170CD4" w:rsidR="006C4052" w:rsidRPr="000C2364" w:rsidRDefault="006C4052" w:rsidP="000C2364">
      <w:pPr>
        <w:pStyle w:val="NormalWeb"/>
        <w:spacing w:before="0" w:beforeAutospacing="0" w:after="200" w:afterAutospacing="0"/>
        <w:jc w:val="both"/>
        <w:rPr>
          <w:color w:val="000000" w:themeColor="text1"/>
          <w:sz w:val="20"/>
          <w:shd w:val="clear" w:color="auto" w:fill="FFFFFF"/>
        </w:rPr>
      </w:pPr>
      <w:r w:rsidRPr="000C2364">
        <w:rPr>
          <w:rFonts w:eastAsiaTheme="minorEastAsia"/>
          <w:color w:val="000000" w:themeColor="text1"/>
          <w:kern w:val="24"/>
          <w:sz w:val="20"/>
          <w:lang w:val="en-GB"/>
        </w:rPr>
        <w:t xml:space="preserve">In SUSTAIN programme, </w:t>
      </w:r>
      <w:proofErr w:type="spellStart"/>
      <w:r w:rsidRPr="000C2364">
        <w:rPr>
          <w:rFonts w:eastAsiaTheme="minorEastAsia"/>
          <w:color w:val="000000" w:themeColor="text1"/>
          <w:kern w:val="24"/>
          <w:sz w:val="20"/>
          <w:lang w:val="en-GB"/>
        </w:rPr>
        <w:t>Semaglutide</w:t>
      </w:r>
      <w:proofErr w:type="spellEnd"/>
      <w:r w:rsidRPr="000C2364">
        <w:rPr>
          <w:rFonts w:eastAsiaTheme="minorEastAsia"/>
          <w:color w:val="000000" w:themeColor="text1"/>
          <w:kern w:val="24"/>
          <w:sz w:val="20"/>
          <w:lang w:val="en-GB"/>
        </w:rPr>
        <w:t xml:space="preserve"> was associated with consistent reductions in </w:t>
      </w:r>
      <w:proofErr w:type="spellStart"/>
      <w:r w:rsidRPr="000C2364">
        <w:rPr>
          <w:rFonts w:eastAsiaTheme="minorEastAsia"/>
          <w:b/>
          <w:bCs/>
          <w:color w:val="000000" w:themeColor="text1"/>
          <w:kern w:val="24"/>
          <w:sz w:val="20"/>
          <w:lang w:val="en-GB"/>
        </w:rPr>
        <w:t>HbA</w:t>
      </w:r>
      <w:proofErr w:type="spellEnd"/>
      <w:r w:rsidRPr="000C2364">
        <w:rPr>
          <w:rFonts w:eastAsiaTheme="minorEastAsia"/>
          <w:b/>
          <w:bCs/>
          <w:color w:val="000000" w:themeColor="text1"/>
          <w:kern w:val="24"/>
          <w:position w:val="-8"/>
          <w:sz w:val="20"/>
          <w:vertAlign w:val="subscript"/>
          <w:lang w:val="en-GB"/>
        </w:rPr>
        <w:t>1c</w:t>
      </w:r>
      <w:r w:rsidRPr="000C2364">
        <w:rPr>
          <w:rFonts w:eastAsiaTheme="minorEastAsia"/>
          <w:color w:val="000000" w:themeColor="text1"/>
          <w:kern w:val="24"/>
          <w:sz w:val="20"/>
          <w:lang w:val="en-GB"/>
        </w:rPr>
        <w:t xml:space="preserve"> and</w:t>
      </w:r>
      <w:r w:rsidR="009D320D" w:rsidRPr="000C2364">
        <w:rPr>
          <w:rFonts w:eastAsiaTheme="minorEastAsia"/>
          <w:color w:val="000000" w:themeColor="text1"/>
          <w:kern w:val="24"/>
          <w:sz w:val="20"/>
          <w:lang w:val="en-GB"/>
        </w:rPr>
        <w:t xml:space="preserve"> </w:t>
      </w:r>
      <w:r w:rsidRPr="000C2364">
        <w:rPr>
          <w:rFonts w:eastAsiaTheme="minorEastAsia"/>
          <w:color w:val="000000" w:themeColor="text1"/>
          <w:kern w:val="24"/>
          <w:sz w:val="20"/>
          <w:lang w:val="en-GB"/>
        </w:rPr>
        <w:t>higher proportions of subjects achieving glycaemic targets of &lt;7.0% and ≤</w:t>
      </w:r>
      <w:r w:rsidR="000C2364">
        <w:rPr>
          <w:rFonts w:eastAsiaTheme="minorEastAsia"/>
          <w:color w:val="000000" w:themeColor="text1"/>
          <w:kern w:val="24"/>
          <w:sz w:val="20"/>
          <w:lang w:val="en-GB"/>
        </w:rPr>
        <w:t xml:space="preserve"> </w:t>
      </w:r>
      <w:r w:rsidRPr="000C2364">
        <w:rPr>
          <w:rFonts w:eastAsiaTheme="minorEastAsia"/>
          <w:color w:val="000000" w:themeColor="text1"/>
          <w:kern w:val="24"/>
          <w:sz w:val="20"/>
          <w:lang w:val="en-GB"/>
        </w:rPr>
        <w:t xml:space="preserve">6.5%, </w:t>
      </w:r>
      <w:proofErr w:type="spellStart"/>
      <w:r w:rsidRPr="000C2364">
        <w:rPr>
          <w:rFonts w:eastAsiaTheme="minorEastAsia"/>
          <w:i/>
          <w:color w:val="000000" w:themeColor="text1"/>
          <w:kern w:val="24"/>
          <w:sz w:val="20"/>
          <w:lang w:val="en-GB"/>
        </w:rPr>
        <w:t>vs</w:t>
      </w:r>
      <w:proofErr w:type="spellEnd"/>
      <w:r w:rsidRPr="000C2364">
        <w:rPr>
          <w:rFonts w:eastAsiaTheme="minorEastAsia"/>
          <w:color w:val="000000" w:themeColor="text1"/>
          <w:kern w:val="24"/>
          <w:sz w:val="20"/>
          <w:lang w:val="en-GB"/>
        </w:rPr>
        <w:t xml:space="preserve"> comparators.</w:t>
      </w:r>
    </w:p>
    <w:p w14:paraId="29940F35" w14:textId="77777777" w:rsidR="006C4052" w:rsidRPr="000C2364" w:rsidRDefault="006C4052" w:rsidP="000C2364">
      <w:pPr>
        <w:pStyle w:val="NormalWeb"/>
        <w:spacing w:before="0" w:beforeAutospacing="0" w:after="200" w:afterAutospacing="0"/>
        <w:jc w:val="both"/>
        <w:rPr>
          <w:color w:val="000000" w:themeColor="text1"/>
          <w:sz w:val="20"/>
        </w:rPr>
      </w:pPr>
      <w:r w:rsidRPr="000C2364">
        <w:rPr>
          <w:rFonts w:eastAsiaTheme="minorEastAsia"/>
          <w:color w:val="000000" w:themeColor="text1"/>
          <w:kern w:val="24"/>
          <w:sz w:val="20"/>
          <w:lang w:val="en-GB"/>
        </w:rPr>
        <w:t xml:space="preserve">In SUSTAIN 6, </w:t>
      </w:r>
      <w:proofErr w:type="spellStart"/>
      <w:r w:rsidRPr="000C2364">
        <w:rPr>
          <w:rFonts w:eastAsiaTheme="minorEastAsia"/>
          <w:color w:val="000000" w:themeColor="text1"/>
          <w:kern w:val="24"/>
          <w:sz w:val="20"/>
          <w:lang w:val="en-GB"/>
        </w:rPr>
        <w:t>Semaglutide</w:t>
      </w:r>
      <w:proofErr w:type="spellEnd"/>
      <w:r w:rsidRPr="000C2364">
        <w:rPr>
          <w:rFonts w:eastAsiaTheme="minorEastAsia"/>
          <w:color w:val="000000" w:themeColor="text1"/>
          <w:kern w:val="24"/>
          <w:sz w:val="20"/>
          <w:lang w:val="en-GB"/>
        </w:rPr>
        <w:t xml:space="preserve"> treated patients experienced a significant 26% risk reduction in the primary composite outcome.</w:t>
      </w:r>
      <w:bookmarkStart w:id="1" w:name="_GoBack"/>
      <w:bookmarkEnd w:id="1"/>
    </w:p>
    <w:p w14:paraId="3018296A" w14:textId="77777777" w:rsidR="00021E1A" w:rsidRPr="000C2364" w:rsidRDefault="00021E1A" w:rsidP="000C2364">
      <w:pPr>
        <w:spacing w:after="20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</w:pPr>
      <w:r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Given the beneficial metabolic and cardiovascular actions of </w:t>
      </w:r>
      <w:proofErr w:type="spellStart"/>
      <w:r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>semaglutide</w:t>
      </w:r>
      <w:proofErr w:type="spellEnd"/>
      <w:r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, and the low risk for severe adverse events, </w:t>
      </w:r>
      <w:proofErr w:type="spellStart"/>
      <w:r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>semaglutide</w:t>
      </w:r>
      <w:proofErr w:type="spellEnd"/>
      <w:r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 has an overall favorable risk/benefit profile for patient with type 2 diabetes.</w:t>
      </w:r>
    </w:p>
    <w:p w14:paraId="3632795A" w14:textId="06BC89A0" w:rsidR="009D320D" w:rsidRPr="009D320D" w:rsidRDefault="009D320D" w:rsidP="000C2364">
      <w:pPr>
        <w:spacing w:after="20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9D320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Biography</w:t>
      </w:r>
    </w:p>
    <w:p w14:paraId="40C04DD5" w14:textId="6E0A0A52" w:rsidR="006C4052" w:rsidRPr="000C2364" w:rsidRDefault="006C4052" w:rsidP="000C2364">
      <w:pPr>
        <w:spacing w:after="200"/>
        <w:jc w:val="both"/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</w:pPr>
      <w:r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>Dr</w:t>
      </w:r>
      <w:r w:rsidR="009D320D"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. </w:t>
      </w:r>
      <w:proofErr w:type="spellStart"/>
      <w:r w:rsidR="009D320D"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>Hazem</w:t>
      </w:r>
      <w:proofErr w:type="spellEnd"/>
      <w:r w:rsidR="009D320D"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 </w:t>
      </w:r>
      <w:proofErr w:type="spellStart"/>
      <w:r w:rsidR="009D320D"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>Rayyan</w:t>
      </w:r>
      <w:proofErr w:type="spellEnd"/>
      <w:r w:rsidR="009D320D"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 is a consultant</w:t>
      </w:r>
      <w:r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 </w:t>
      </w:r>
      <w:r w:rsidR="009D320D"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>endocrinology</w:t>
      </w:r>
      <w:r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 </w:t>
      </w:r>
      <w:r w:rsidR="009D320D"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>at</w:t>
      </w:r>
      <w:r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 </w:t>
      </w:r>
      <w:proofErr w:type="spellStart"/>
      <w:r w:rsidR="009D320D"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>Ksafh-Tabuk</w:t>
      </w:r>
      <w:proofErr w:type="spellEnd"/>
      <w:r w:rsidR="009D320D"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, KSA. He is a </w:t>
      </w:r>
      <w:r w:rsidR="007111BE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Member of AACE, ESE, </w:t>
      </w:r>
      <w:r w:rsid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JSED, </w:t>
      </w:r>
      <w:r w:rsidR="009D320D"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SSED, European </w:t>
      </w:r>
      <w:r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Arab and Jordanian </w:t>
      </w:r>
      <w:r w:rsidR="009D320D"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>Board</w:t>
      </w:r>
      <w:r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 of </w:t>
      </w:r>
      <w:r w:rsidR="009D320D"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Medicine </w:t>
      </w:r>
      <w:r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and </w:t>
      </w:r>
      <w:r w:rsidR="009D320D"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>Endocrinology</w:t>
      </w:r>
      <w:r w:rsidRPr="000C2364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>.</w:t>
      </w:r>
    </w:p>
    <w:sectPr w:rsidR="006C4052" w:rsidRPr="000C2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27T12:39:00Z" w:initials="SS">
    <w:p w14:paraId="0629D373" w14:textId="0BDBE549" w:rsidR="008C3BEA" w:rsidRDefault="008C3BEA">
      <w:pPr>
        <w:pStyle w:val="CommentText"/>
      </w:pPr>
      <w:r>
        <w:rPr>
          <w:rStyle w:val="CommentReference"/>
        </w:rPr>
        <w:annotationRef/>
      </w:r>
      <w:r>
        <w:t xml:space="preserve">Content has been </w:t>
      </w:r>
      <w:r w:rsidR="00AC6688">
        <w:t>plagiarized</w:t>
      </w:r>
      <w:r>
        <w:t xml:space="preserve"> from below article. </w:t>
      </w:r>
      <w:r w:rsidR="00AC6688">
        <w:t>Please find the below link for your reference.</w:t>
      </w:r>
    </w:p>
    <w:p w14:paraId="0B672948" w14:textId="77777777" w:rsidR="00AC6688" w:rsidRDefault="00AC6688">
      <w:pPr>
        <w:pStyle w:val="CommentText"/>
      </w:pPr>
    </w:p>
    <w:p w14:paraId="619C4F98" w14:textId="3984AB53" w:rsidR="00AC6688" w:rsidRDefault="00AC6688" w:rsidP="00AC6688">
      <w:pPr>
        <w:pStyle w:val="CommentText"/>
        <w:numPr>
          <w:ilvl w:val="0"/>
          <w:numId w:val="1"/>
        </w:numPr>
      </w:pPr>
      <w:hyperlink r:id="rId1" w:history="1">
        <w:r w:rsidRPr="00A53C74">
          <w:rPr>
            <w:rStyle w:val="Hyperlink"/>
          </w:rPr>
          <w:t>https://pubmed.ncbi.nlm.nih.gov/34305810/</w:t>
        </w:r>
      </w:hyperlink>
    </w:p>
    <w:p w14:paraId="1DD8C7E2" w14:textId="73BE61B2" w:rsidR="00AC6688" w:rsidRDefault="00AC6688" w:rsidP="00AC6688">
      <w:pPr>
        <w:pStyle w:val="CommentText"/>
        <w:numPr>
          <w:ilvl w:val="0"/>
          <w:numId w:val="1"/>
        </w:numPr>
      </w:pPr>
      <w:hyperlink r:id="rId2" w:history="1">
        <w:r w:rsidRPr="00A53C74">
          <w:rPr>
            <w:rStyle w:val="Hyperlink"/>
          </w:rPr>
          <w:t>https://www.frontiersin.org/articles/10.3389/fendo.2021.645563/full</w:t>
        </w:r>
      </w:hyperlink>
    </w:p>
    <w:p w14:paraId="0C17233C" w14:textId="3F438F2F" w:rsidR="00AC6688" w:rsidRDefault="00AC6688" w:rsidP="00AC6688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5E572B"/>
    <w:multiLevelType w:val="hybridMultilevel"/>
    <w:tmpl w:val="21A62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505"/>
    <w:rsid w:val="00021E1A"/>
    <w:rsid w:val="000C2364"/>
    <w:rsid w:val="00125750"/>
    <w:rsid w:val="00151D6B"/>
    <w:rsid w:val="00215FF5"/>
    <w:rsid w:val="006C4052"/>
    <w:rsid w:val="007111BE"/>
    <w:rsid w:val="007444E1"/>
    <w:rsid w:val="008C3BEA"/>
    <w:rsid w:val="009D320D"/>
    <w:rsid w:val="009D7029"/>
    <w:rsid w:val="00A909EA"/>
    <w:rsid w:val="00AC6688"/>
    <w:rsid w:val="00B6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061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4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C3B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3B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3B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3B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3BE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3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BE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C668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4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C3B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3B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3B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3B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3BE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3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BE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C66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7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rontiersin.org/articles/10.3389/fendo.2021.645563/full" TargetMode="External"/><Relationship Id="rId1" Type="http://schemas.openxmlformats.org/officeDocument/2006/relationships/hyperlink" Target="https://pubmed.ncbi.nlm.nih.gov/34305810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NWAFH</Company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Hazem Radi Mahmoud ABUDEEB</dc:creator>
  <cp:keywords/>
  <dc:description/>
  <cp:lastModifiedBy>Swetha Sandala</cp:lastModifiedBy>
  <cp:revision>22</cp:revision>
  <dcterms:created xsi:type="dcterms:W3CDTF">2022-06-16T08:03:00Z</dcterms:created>
  <dcterms:modified xsi:type="dcterms:W3CDTF">2022-06-27T07:09:00Z</dcterms:modified>
</cp:coreProperties>
</file>