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CD3" w:rsidRDefault="00EC7CFF">
      <w:pPr>
        <w:rPr>
          <w:rFonts w:ascii="Times New Roman" w:hAnsi="Times New Roman" w:cs="Times New Roman"/>
          <w:b/>
          <w:sz w:val="32"/>
        </w:rPr>
      </w:pPr>
      <w:commentRangeStart w:id="0"/>
      <w:r w:rsidRPr="00EC7CFF">
        <w:rPr>
          <w:rFonts w:ascii="Times New Roman" w:hAnsi="Times New Roman" w:cs="Times New Roman"/>
          <w:b/>
          <w:sz w:val="32"/>
        </w:rPr>
        <w:t xml:space="preserve">The role of SGLT2I </w:t>
      </w:r>
      <w:r>
        <w:rPr>
          <w:rFonts w:ascii="Times New Roman" w:hAnsi="Times New Roman" w:cs="Times New Roman"/>
          <w:b/>
          <w:sz w:val="32"/>
        </w:rPr>
        <w:t>in</w:t>
      </w:r>
      <w:r w:rsidRPr="00EC7CFF">
        <w:rPr>
          <w:rFonts w:ascii="Times New Roman" w:hAnsi="Times New Roman" w:cs="Times New Roman"/>
          <w:b/>
          <w:sz w:val="32"/>
        </w:rPr>
        <w:t xml:space="preserve"> DM treatment</w:t>
      </w:r>
      <w:commentRangeEnd w:id="0"/>
      <w:r w:rsidR="00FB429F">
        <w:rPr>
          <w:rStyle w:val="CommentReference"/>
        </w:rPr>
        <w:commentReference w:id="0"/>
      </w:r>
    </w:p>
    <w:p w:rsidR="00EC7CFF" w:rsidRDefault="00EC7CFF">
      <w:pPr>
        <w:rPr>
          <w:rFonts w:ascii="Times New Roman" w:hAnsi="Times New Roman" w:cs="Times New Roman"/>
          <w:sz w:val="24"/>
        </w:rPr>
      </w:pPr>
      <w:proofErr w:type="spellStart"/>
      <w:r w:rsidRPr="00EC7CFF">
        <w:rPr>
          <w:rFonts w:ascii="Times New Roman" w:hAnsi="Times New Roman" w:cs="Times New Roman"/>
          <w:sz w:val="24"/>
        </w:rPr>
        <w:t>Hazem</w:t>
      </w:r>
      <w:proofErr w:type="spellEnd"/>
      <w:r w:rsidRPr="00EC7CFF">
        <w:rPr>
          <w:rFonts w:ascii="Times New Roman" w:hAnsi="Times New Roman" w:cs="Times New Roman"/>
          <w:sz w:val="24"/>
        </w:rPr>
        <w:t xml:space="preserve"> </w:t>
      </w:r>
      <w:proofErr w:type="spellStart"/>
      <w:r w:rsidRPr="00EC7CFF">
        <w:rPr>
          <w:rFonts w:ascii="Times New Roman" w:hAnsi="Times New Roman" w:cs="Times New Roman"/>
          <w:sz w:val="24"/>
        </w:rPr>
        <w:t>Rayyan</w:t>
      </w:r>
      <w:proofErr w:type="spellEnd"/>
    </w:p>
    <w:p w:rsidR="00EC7CFF" w:rsidRDefault="00EC7CFF">
      <w:pPr>
        <w:rPr>
          <w:rFonts w:ascii="Times New Roman" w:hAnsi="Times New Roman" w:cs="Times New Roman"/>
        </w:rPr>
      </w:pPr>
      <w:r w:rsidRPr="00EC7CFF">
        <w:rPr>
          <w:rFonts w:ascii="Times New Roman" w:hAnsi="Times New Roman" w:cs="Times New Roman"/>
        </w:rPr>
        <w:t>King Salman Military Hospital</w:t>
      </w:r>
      <w:r>
        <w:rPr>
          <w:rFonts w:ascii="Times New Roman" w:hAnsi="Times New Roman" w:cs="Times New Roman"/>
        </w:rPr>
        <w:t xml:space="preserve">, </w:t>
      </w:r>
      <w:r w:rsidRPr="00EC7CFF">
        <w:rPr>
          <w:rFonts w:ascii="Times New Roman" w:hAnsi="Times New Roman" w:cs="Times New Roman"/>
        </w:rPr>
        <w:t>Saudi Arabia</w:t>
      </w:r>
    </w:p>
    <w:p w:rsidR="00EC7CFF" w:rsidRDefault="00EC7CFF" w:rsidP="00EC7CFF">
      <w:pPr>
        <w:jc w:val="center"/>
        <w:rPr>
          <w:rFonts w:ascii="Times New Roman" w:hAnsi="Times New Roman" w:cs="Times New Roman"/>
          <w:b/>
          <w:sz w:val="24"/>
        </w:rPr>
      </w:pPr>
      <w:r w:rsidRPr="00EC7CFF">
        <w:rPr>
          <w:rFonts w:ascii="Times New Roman" w:hAnsi="Times New Roman" w:cs="Times New Roman"/>
          <w:b/>
          <w:sz w:val="24"/>
        </w:rPr>
        <w:t>Abstract</w:t>
      </w:r>
    </w:p>
    <w:p w:rsidR="00896F0F" w:rsidRPr="00896F0F" w:rsidRDefault="00896F0F" w:rsidP="00896F0F">
      <w:pPr>
        <w:jc w:val="both"/>
        <w:rPr>
          <w:rFonts w:ascii="Times New Roman" w:hAnsi="Times New Roman" w:cs="Times New Roman"/>
          <w:sz w:val="20"/>
        </w:rPr>
      </w:pPr>
      <w:r w:rsidRPr="00896F0F">
        <w:rPr>
          <w:rFonts w:ascii="Times New Roman" w:hAnsi="Times New Roman" w:cs="Times New Roman"/>
          <w:sz w:val="20"/>
        </w:rPr>
        <w:t>The treatment options for patients with Type 2 Diabetes (T2D) and Cardiovascular</w:t>
      </w:r>
      <w:r>
        <w:rPr>
          <w:rFonts w:ascii="Times New Roman" w:hAnsi="Times New Roman" w:cs="Times New Roman"/>
          <w:sz w:val="20"/>
        </w:rPr>
        <w:t xml:space="preserve"> D</w:t>
      </w:r>
      <w:r w:rsidRPr="00896F0F">
        <w:rPr>
          <w:rFonts w:ascii="Times New Roman" w:hAnsi="Times New Roman" w:cs="Times New Roman"/>
          <w:sz w:val="20"/>
        </w:rPr>
        <w:t xml:space="preserve">isease (CVD) has recently expanded at an unprecedented rate. The findings of significant CVD benefits with new Anti-Hyperglycemic Agents (AHGA) such as Sodium Glucose </w:t>
      </w:r>
      <w:proofErr w:type="spellStart"/>
      <w:r w:rsidRPr="00896F0F">
        <w:rPr>
          <w:rFonts w:ascii="Times New Roman" w:hAnsi="Times New Roman" w:cs="Times New Roman"/>
          <w:sz w:val="20"/>
        </w:rPr>
        <w:t>Cotransporter</w:t>
      </w:r>
      <w:proofErr w:type="spellEnd"/>
      <w:r w:rsidRPr="00896F0F">
        <w:rPr>
          <w:rFonts w:ascii="Times New Roman" w:hAnsi="Times New Roman" w:cs="Times New Roman"/>
          <w:sz w:val="20"/>
        </w:rPr>
        <w:t xml:space="preserve"> 2 (SGLT2) inhibitors and Glucagon-Like Peptide-1 (GLP1) agonists have dramatically changed the narrative after drugs such as the Per</w:t>
      </w:r>
      <w:bookmarkStart w:id="1" w:name="_GoBack"/>
      <w:bookmarkEnd w:id="1"/>
      <w:r w:rsidRPr="00896F0F">
        <w:rPr>
          <w:rFonts w:ascii="Times New Roman" w:hAnsi="Times New Roman" w:cs="Times New Roman"/>
          <w:sz w:val="20"/>
        </w:rPr>
        <w:t xml:space="preserve">oxisome Proliferator-Activated Receptor (PPAR)-gamma agonists, </w:t>
      </w:r>
      <w:proofErr w:type="spellStart"/>
      <w:r w:rsidRPr="00896F0F">
        <w:rPr>
          <w:rFonts w:ascii="Times New Roman" w:hAnsi="Times New Roman" w:cs="Times New Roman"/>
          <w:sz w:val="20"/>
        </w:rPr>
        <w:t>saxagliptin</w:t>
      </w:r>
      <w:proofErr w:type="spellEnd"/>
      <w:r w:rsidRPr="00896F0F">
        <w:rPr>
          <w:rFonts w:ascii="Times New Roman" w:hAnsi="Times New Roman" w:cs="Times New Roman"/>
          <w:sz w:val="20"/>
        </w:rPr>
        <w:t xml:space="preserve"> and </w:t>
      </w:r>
      <w:proofErr w:type="spellStart"/>
      <w:r w:rsidRPr="00896F0F">
        <w:rPr>
          <w:rFonts w:ascii="Times New Roman" w:hAnsi="Times New Roman" w:cs="Times New Roman"/>
          <w:sz w:val="20"/>
        </w:rPr>
        <w:t>alogliptin</w:t>
      </w:r>
      <w:proofErr w:type="spellEnd"/>
      <w:r w:rsidRPr="00896F0F">
        <w:rPr>
          <w:rFonts w:ascii="Times New Roman" w:hAnsi="Times New Roman" w:cs="Times New Roman"/>
          <w:sz w:val="20"/>
        </w:rPr>
        <w:t xml:space="preserve"> from the class of Dipeptidyl-Peptidase-4 (DPP4) inhibitors showed adverse CVD outcomes. After concerns were raised about the anti-hyperglycemic agent rosiglitazone, a PPAR-gamma agonist regarding increased risk of Myocardial Infarction (MI), the United States (U.S.) Food and Drug Agency (FDA) issued a guidance requiring pre-and post-approval studies demonstrating CVD safety.</w:t>
      </w:r>
    </w:p>
    <w:p w:rsidR="00896F0F" w:rsidRDefault="00896F0F" w:rsidP="00896F0F">
      <w:pPr>
        <w:jc w:val="both"/>
        <w:rPr>
          <w:rFonts w:ascii="Times New Roman" w:hAnsi="Times New Roman" w:cs="Times New Roman"/>
          <w:sz w:val="20"/>
        </w:rPr>
      </w:pPr>
      <w:r w:rsidRPr="00896F0F">
        <w:rPr>
          <w:rFonts w:ascii="Times New Roman" w:hAnsi="Times New Roman" w:cs="Times New Roman"/>
          <w:sz w:val="20"/>
        </w:rPr>
        <w:t>This resulted in multiple large cardiovascular outcomes trials in recent years that have transformed the</w:t>
      </w:r>
      <w:r>
        <w:rPr>
          <w:rFonts w:ascii="Times New Roman" w:hAnsi="Times New Roman" w:cs="Times New Roman"/>
          <w:sz w:val="20"/>
        </w:rPr>
        <w:t xml:space="preserve"> diabetes management landscape. </w:t>
      </w:r>
      <w:r w:rsidRPr="00896F0F">
        <w:rPr>
          <w:rFonts w:ascii="Times New Roman" w:hAnsi="Times New Roman" w:cs="Times New Roman"/>
          <w:sz w:val="20"/>
        </w:rPr>
        <w:t>Of all the AHGA agents which have been studied, SGLT2 inhibitors and GLP1-agonists standout amongst the rest as having clear, demonstrable CVD benefits</w:t>
      </w:r>
      <w:r w:rsidR="009D64F7">
        <w:rPr>
          <w:rFonts w:ascii="Times New Roman" w:hAnsi="Times New Roman" w:cs="Times New Roman"/>
          <w:sz w:val="20"/>
        </w:rPr>
        <w:t xml:space="preserve"> </w:t>
      </w:r>
      <w:r w:rsidRPr="00896F0F">
        <w:rPr>
          <w:rFonts w:ascii="Times New Roman" w:hAnsi="Times New Roman" w:cs="Times New Roman"/>
          <w:sz w:val="20"/>
        </w:rPr>
        <w:t xml:space="preserve">The EMPA-REG-OUTCOME trial which studied SGLT2 inhibitors versus placebo in patients with T2D and known Atherosclerotic CVD (ASCVD) was the first to demonstrate benefit with a significant reduction in its composite primary outcome of CVD mortality, non-fatal MI or non-fatal stroke.4 Furthermore, it showed a significant reduction in all-cause mortality, CVD mortality and a significant reduction in hospitalization for heart failure (HF).4 The reduction in CVD mortality was thought to be driven by reduction in HF hospitalizations. The CANVAS program later using the same composite primary outcome demonstrated superiority of another SGLT2 inhibitor, </w:t>
      </w:r>
      <w:proofErr w:type="spellStart"/>
      <w:r w:rsidRPr="00896F0F">
        <w:rPr>
          <w:rFonts w:ascii="Times New Roman" w:hAnsi="Times New Roman" w:cs="Times New Roman"/>
          <w:sz w:val="20"/>
        </w:rPr>
        <w:t>canagliflozin</w:t>
      </w:r>
      <w:proofErr w:type="spellEnd"/>
      <w:r w:rsidRPr="00896F0F">
        <w:rPr>
          <w:rFonts w:ascii="Times New Roman" w:hAnsi="Times New Roman" w:cs="Times New Roman"/>
          <w:sz w:val="20"/>
        </w:rPr>
        <w:t xml:space="preserve">, versus placebo in patients with T2D and high CVD risk.5 The CVD benefits of SGLT2 inhibitors was confirmed as a true class effect with the results from the DECLARE-TIMI-58 study which demonstrated superiority of </w:t>
      </w:r>
      <w:proofErr w:type="spellStart"/>
      <w:r w:rsidRPr="00896F0F">
        <w:rPr>
          <w:rFonts w:ascii="Times New Roman" w:hAnsi="Times New Roman" w:cs="Times New Roman"/>
          <w:sz w:val="20"/>
        </w:rPr>
        <w:t>dapagliflozin</w:t>
      </w:r>
      <w:proofErr w:type="spellEnd"/>
      <w:r w:rsidRPr="00896F0F">
        <w:rPr>
          <w:rFonts w:ascii="Times New Roman" w:hAnsi="Times New Roman" w:cs="Times New Roman"/>
          <w:sz w:val="20"/>
        </w:rPr>
        <w:t xml:space="preserve"> vs. placebo in its composite primary outcome of CVD death or hospitalization for HF. The statistical superiority of this primary outcome was shown to be primarily driven by hospitalization for HF</w:t>
      </w:r>
      <w:r>
        <w:rPr>
          <w:rFonts w:ascii="Times New Roman" w:hAnsi="Times New Roman" w:cs="Times New Roman"/>
          <w:sz w:val="20"/>
        </w:rPr>
        <w:t>.</w:t>
      </w:r>
    </w:p>
    <w:p w:rsidR="00896F0F" w:rsidRPr="00896F0F" w:rsidRDefault="00896F0F" w:rsidP="00896F0F">
      <w:pPr>
        <w:rPr>
          <w:rFonts w:ascii="Times New Roman" w:hAnsi="Times New Roman" w:cs="Times New Roman"/>
          <w:b/>
          <w:sz w:val="24"/>
        </w:rPr>
      </w:pPr>
      <w:commentRangeStart w:id="2"/>
      <w:r w:rsidRPr="00896F0F">
        <w:rPr>
          <w:rFonts w:ascii="Times New Roman" w:hAnsi="Times New Roman" w:cs="Times New Roman"/>
          <w:b/>
          <w:sz w:val="24"/>
        </w:rPr>
        <w:t>Biography</w:t>
      </w:r>
      <w:commentRangeEnd w:id="2"/>
      <w:r w:rsidR="009D64F7">
        <w:rPr>
          <w:rStyle w:val="CommentReference"/>
        </w:rPr>
        <w:commentReference w:id="2"/>
      </w:r>
    </w:p>
    <w:sectPr w:rsidR="00896F0F" w:rsidRPr="00896F0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3T18:13:00Z" w:initials="SS">
    <w:p w:rsidR="00FB429F" w:rsidRDefault="00FB429F">
      <w:pPr>
        <w:pStyle w:val="CommentText"/>
      </w:pPr>
      <w:r>
        <w:rPr>
          <w:rStyle w:val="CommentReference"/>
        </w:rPr>
        <w:annotationRef/>
      </w:r>
      <w:r w:rsidR="00991417">
        <w:t>Kindly ask author/speaker to change the abstract content as it is</w:t>
      </w:r>
      <w:r>
        <w:t xml:space="preserve"> plagiarized from below links.</w:t>
      </w:r>
    </w:p>
    <w:p w:rsidR="00FB429F" w:rsidRDefault="00FB429F">
      <w:pPr>
        <w:pStyle w:val="CommentText"/>
      </w:pPr>
    </w:p>
    <w:p w:rsidR="00FB429F" w:rsidRDefault="00991417" w:rsidP="00FB429F">
      <w:pPr>
        <w:pStyle w:val="CommentText"/>
        <w:numPr>
          <w:ilvl w:val="0"/>
          <w:numId w:val="1"/>
        </w:numPr>
      </w:pPr>
      <w:hyperlink r:id="rId1" w:history="1">
        <w:r w:rsidR="00FB429F" w:rsidRPr="00B70960">
          <w:rPr>
            <w:rStyle w:val="Hyperlink"/>
          </w:rPr>
          <w:t>https://www.sciencedirect.com/science/article/pii/S0033062019301021</w:t>
        </w:r>
      </w:hyperlink>
    </w:p>
    <w:p w:rsidR="00FB429F" w:rsidRDefault="00991417" w:rsidP="00FB429F">
      <w:pPr>
        <w:pStyle w:val="CommentText"/>
        <w:numPr>
          <w:ilvl w:val="0"/>
          <w:numId w:val="1"/>
        </w:numPr>
      </w:pPr>
      <w:hyperlink r:id="rId2" w:history="1">
        <w:r w:rsidR="00FB429F" w:rsidRPr="00B70960">
          <w:rPr>
            <w:rStyle w:val="Hyperlink"/>
          </w:rPr>
          <w:t>https://www.researchgate.net/figure/Summary-of-large-cardiovascular-outcomes-trials-for-GLP-1-agonists_tbl1_334909923</w:t>
        </w:r>
      </w:hyperlink>
    </w:p>
    <w:p w:rsidR="00FB429F" w:rsidRDefault="00FB429F" w:rsidP="00FB429F">
      <w:pPr>
        <w:pStyle w:val="CommentText"/>
      </w:pPr>
    </w:p>
  </w:comment>
  <w:comment w:id="2" w:author="Swetha Sandala" w:date="2022-06-08T19:06:00Z" w:initials="SS">
    <w:p w:rsidR="009D64F7" w:rsidRDefault="009D64F7">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655212"/>
    <w:multiLevelType w:val="hybridMultilevel"/>
    <w:tmpl w:val="77E03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CFF"/>
    <w:rsid w:val="00394CD3"/>
    <w:rsid w:val="00896F0F"/>
    <w:rsid w:val="00991417"/>
    <w:rsid w:val="009D64F7"/>
    <w:rsid w:val="00EC7CFF"/>
    <w:rsid w:val="00FB4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D64F7"/>
    <w:rPr>
      <w:sz w:val="16"/>
      <w:szCs w:val="16"/>
    </w:rPr>
  </w:style>
  <w:style w:type="paragraph" w:styleId="CommentText">
    <w:name w:val="annotation text"/>
    <w:basedOn w:val="Normal"/>
    <w:link w:val="CommentTextChar"/>
    <w:uiPriority w:val="99"/>
    <w:semiHidden/>
    <w:unhideWhenUsed/>
    <w:rsid w:val="009D64F7"/>
    <w:pPr>
      <w:spacing w:line="240" w:lineRule="auto"/>
    </w:pPr>
    <w:rPr>
      <w:sz w:val="20"/>
      <w:szCs w:val="20"/>
    </w:rPr>
  </w:style>
  <w:style w:type="character" w:customStyle="1" w:styleId="CommentTextChar">
    <w:name w:val="Comment Text Char"/>
    <w:basedOn w:val="DefaultParagraphFont"/>
    <w:link w:val="CommentText"/>
    <w:uiPriority w:val="99"/>
    <w:semiHidden/>
    <w:rsid w:val="009D64F7"/>
    <w:rPr>
      <w:sz w:val="20"/>
      <w:szCs w:val="20"/>
    </w:rPr>
  </w:style>
  <w:style w:type="paragraph" w:styleId="CommentSubject">
    <w:name w:val="annotation subject"/>
    <w:basedOn w:val="CommentText"/>
    <w:next w:val="CommentText"/>
    <w:link w:val="CommentSubjectChar"/>
    <w:uiPriority w:val="99"/>
    <w:semiHidden/>
    <w:unhideWhenUsed/>
    <w:rsid w:val="009D64F7"/>
    <w:rPr>
      <w:b/>
      <w:bCs/>
    </w:rPr>
  </w:style>
  <w:style w:type="character" w:customStyle="1" w:styleId="CommentSubjectChar">
    <w:name w:val="Comment Subject Char"/>
    <w:basedOn w:val="CommentTextChar"/>
    <w:link w:val="CommentSubject"/>
    <w:uiPriority w:val="99"/>
    <w:semiHidden/>
    <w:rsid w:val="009D64F7"/>
    <w:rPr>
      <w:b/>
      <w:bCs/>
      <w:sz w:val="20"/>
      <w:szCs w:val="20"/>
    </w:rPr>
  </w:style>
  <w:style w:type="paragraph" w:styleId="BalloonText">
    <w:name w:val="Balloon Text"/>
    <w:basedOn w:val="Normal"/>
    <w:link w:val="BalloonTextChar"/>
    <w:uiPriority w:val="99"/>
    <w:semiHidden/>
    <w:unhideWhenUsed/>
    <w:rsid w:val="009D64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64F7"/>
    <w:rPr>
      <w:rFonts w:ascii="Tahoma" w:hAnsi="Tahoma" w:cs="Tahoma"/>
      <w:sz w:val="16"/>
      <w:szCs w:val="16"/>
    </w:rPr>
  </w:style>
  <w:style w:type="character" w:styleId="Hyperlink">
    <w:name w:val="Hyperlink"/>
    <w:basedOn w:val="DefaultParagraphFont"/>
    <w:uiPriority w:val="99"/>
    <w:unhideWhenUsed/>
    <w:rsid w:val="00FB429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D64F7"/>
    <w:rPr>
      <w:sz w:val="16"/>
      <w:szCs w:val="16"/>
    </w:rPr>
  </w:style>
  <w:style w:type="paragraph" w:styleId="CommentText">
    <w:name w:val="annotation text"/>
    <w:basedOn w:val="Normal"/>
    <w:link w:val="CommentTextChar"/>
    <w:uiPriority w:val="99"/>
    <w:semiHidden/>
    <w:unhideWhenUsed/>
    <w:rsid w:val="009D64F7"/>
    <w:pPr>
      <w:spacing w:line="240" w:lineRule="auto"/>
    </w:pPr>
    <w:rPr>
      <w:sz w:val="20"/>
      <w:szCs w:val="20"/>
    </w:rPr>
  </w:style>
  <w:style w:type="character" w:customStyle="1" w:styleId="CommentTextChar">
    <w:name w:val="Comment Text Char"/>
    <w:basedOn w:val="DefaultParagraphFont"/>
    <w:link w:val="CommentText"/>
    <w:uiPriority w:val="99"/>
    <w:semiHidden/>
    <w:rsid w:val="009D64F7"/>
    <w:rPr>
      <w:sz w:val="20"/>
      <w:szCs w:val="20"/>
    </w:rPr>
  </w:style>
  <w:style w:type="paragraph" w:styleId="CommentSubject">
    <w:name w:val="annotation subject"/>
    <w:basedOn w:val="CommentText"/>
    <w:next w:val="CommentText"/>
    <w:link w:val="CommentSubjectChar"/>
    <w:uiPriority w:val="99"/>
    <w:semiHidden/>
    <w:unhideWhenUsed/>
    <w:rsid w:val="009D64F7"/>
    <w:rPr>
      <w:b/>
      <w:bCs/>
    </w:rPr>
  </w:style>
  <w:style w:type="character" w:customStyle="1" w:styleId="CommentSubjectChar">
    <w:name w:val="Comment Subject Char"/>
    <w:basedOn w:val="CommentTextChar"/>
    <w:link w:val="CommentSubject"/>
    <w:uiPriority w:val="99"/>
    <w:semiHidden/>
    <w:rsid w:val="009D64F7"/>
    <w:rPr>
      <w:b/>
      <w:bCs/>
      <w:sz w:val="20"/>
      <w:szCs w:val="20"/>
    </w:rPr>
  </w:style>
  <w:style w:type="paragraph" w:styleId="BalloonText">
    <w:name w:val="Balloon Text"/>
    <w:basedOn w:val="Normal"/>
    <w:link w:val="BalloonTextChar"/>
    <w:uiPriority w:val="99"/>
    <w:semiHidden/>
    <w:unhideWhenUsed/>
    <w:rsid w:val="009D64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64F7"/>
    <w:rPr>
      <w:rFonts w:ascii="Tahoma" w:hAnsi="Tahoma" w:cs="Tahoma"/>
      <w:sz w:val="16"/>
      <w:szCs w:val="16"/>
    </w:rPr>
  </w:style>
  <w:style w:type="character" w:styleId="Hyperlink">
    <w:name w:val="Hyperlink"/>
    <w:basedOn w:val="DefaultParagraphFont"/>
    <w:uiPriority w:val="99"/>
    <w:unhideWhenUsed/>
    <w:rsid w:val="00FB42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researchgate.net/figure/Summary-of-large-cardiovascular-outcomes-trials-for-GLP-1-agonists_tbl1_334909923" TargetMode="External"/><Relationship Id="rId1" Type="http://schemas.openxmlformats.org/officeDocument/2006/relationships/hyperlink" Target="https://www.sciencedirect.com/science/article/pii/S0033062019301021"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2022-06-08T13:17:00Z</dcterms:created>
  <dcterms:modified xsi:type="dcterms:W3CDTF">2022-06-13T12:43:00Z</dcterms:modified>
</cp:coreProperties>
</file>