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FBD" w:rsidRPr="00D67FBD" w:rsidRDefault="00D67FBD" w:rsidP="00D67FBD">
      <w:pPr>
        <w:spacing w:before="120" w:after="0" w:line="240" w:lineRule="auto"/>
        <w:ind w:hanging="360"/>
        <w:jc w:val="center"/>
        <w:rPr>
          <w:rFonts w:ascii="Times New Roman" w:eastAsia="Times New Roman" w:hAnsi="Times New Roman" w:cs="Times New Roman"/>
          <w:sz w:val="24"/>
          <w:szCs w:val="24"/>
        </w:rPr>
      </w:pPr>
      <w:r w:rsidRPr="00D67FBD">
        <w:rPr>
          <w:rFonts w:ascii="Times New Roman" w:eastAsia="Times New Roman" w:hAnsi="Times New Roman" w:cs="Times New Roman"/>
          <w:b/>
          <w:bCs/>
          <w:color w:val="000000"/>
          <w:sz w:val="40"/>
          <w:szCs w:val="40"/>
        </w:rPr>
        <w:t xml:space="preserve">The </w:t>
      </w:r>
      <w:proofErr w:type="spellStart"/>
      <w:r w:rsidRPr="00D67FBD">
        <w:rPr>
          <w:rFonts w:ascii="Times New Roman" w:eastAsia="Times New Roman" w:hAnsi="Times New Roman" w:cs="Times New Roman"/>
          <w:b/>
          <w:bCs/>
          <w:color w:val="000000"/>
          <w:sz w:val="40"/>
          <w:szCs w:val="40"/>
        </w:rPr>
        <w:t>Microbiome</w:t>
      </w:r>
      <w:proofErr w:type="spellEnd"/>
      <w:r w:rsidRPr="00D67FBD">
        <w:rPr>
          <w:rFonts w:ascii="Times New Roman" w:eastAsia="Times New Roman" w:hAnsi="Times New Roman" w:cs="Times New Roman"/>
          <w:b/>
          <w:bCs/>
          <w:color w:val="000000"/>
          <w:sz w:val="40"/>
          <w:szCs w:val="40"/>
        </w:rPr>
        <w:t xml:space="preserve"> and Diabetes </w:t>
      </w:r>
    </w:p>
    <w:p w:rsidR="00D67FBD" w:rsidRPr="00D67FBD" w:rsidRDefault="00D67FBD" w:rsidP="00D67FBD">
      <w:pPr>
        <w:spacing w:after="0" w:line="240" w:lineRule="auto"/>
        <w:rPr>
          <w:rFonts w:ascii="Times New Roman" w:eastAsia="Times New Roman" w:hAnsi="Times New Roman" w:cs="Times New Roman"/>
          <w:sz w:val="24"/>
          <w:szCs w:val="24"/>
        </w:rPr>
      </w:pPr>
    </w:p>
    <w:p w:rsidR="00D67FBD" w:rsidRPr="00D67FBD" w:rsidRDefault="00D67FBD" w:rsidP="00D67FBD">
      <w:pPr>
        <w:spacing w:before="120" w:after="0" w:line="240" w:lineRule="auto"/>
        <w:ind w:hanging="360"/>
        <w:rPr>
          <w:rFonts w:ascii="Times New Roman" w:eastAsia="Times New Roman" w:hAnsi="Times New Roman" w:cs="Times New Roman"/>
          <w:sz w:val="24"/>
          <w:szCs w:val="24"/>
        </w:rPr>
      </w:pPr>
      <w:r w:rsidRPr="00D67FBD">
        <w:rPr>
          <w:rFonts w:ascii="Times New Roman" w:eastAsia="Times New Roman" w:hAnsi="Times New Roman" w:cs="Times New Roman"/>
          <w:b/>
          <w:bCs/>
          <w:color w:val="000000"/>
          <w:sz w:val="32"/>
          <w:szCs w:val="32"/>
        </w:rPr>
        <w:t>ABSTRACT</w:t>
      </w:r>
    </w:p>
    <w:p w:rsidR="00D67FBD" w:rsidRDefault="00D67FBD" w:rsidP="00D67FBD">
      <w:pPr>
        <w:spacing w:before="120" w:after="0" w:line="240" w:lineRule="auto"/>
        <w:ind w:firstLine="720"/>
        <w:jc w:val="both"/>
        <w:rPr>
          <w:rFonts w:ascii="Times New Roman" w:eastAsia="Times New Roman" w:hAnsi="Times New Roman" w:cs="Times New Roman"/>
          <w:sz w:val="24"/>
          <w:szCs w:val="24"/>
        </w:rPr>
      </w:pPr>
      <w:r w:rsidRPr="00D67FBD">
        <w:rPr>
          <w:rFonts w:ascii="Times New Roman" w:eastAsia="Times New Roman" w:hAnsi="Times New Roman" w:cs="Times New Roman"/>
          <w:color w:val="000000"/>
          <w:sz w:val="30"/>
          <w:szCs w:val="30"/>
        </w:rPr>
        <w:t xml:space="preserve">The human </w:t>
      </w:r>
      <w:proofErr w:type="spellStart"/>
      <w:r w:rsidRPr="00D67FBD">
        <w:rPr>
          <w:rFonts w:ascii="Times New Roman" w:eastAsia="Times New Roman" w:hAnsi="Times New Roman" w:cs="Times New Roman"/>
          <w:color w:val="000000"/>
          <w:sz w:val="30"/>
          <w:szCs w:val="30"/>
        </w:rPr>
        <w:t>microbiome</w:t>
      </w:r>
      <w:proofErr w:type="spellEnd"/>
      <w:r w:rsidRPr="00D67FBD">
        <w:rPr>
          <w:rFonts w:ascii="Times New Roman" w:eastAsia="Times New Roman" w:hAnsi="Times New Roman" w:cs="Times New Roman"/>
          <w:color w:val="000000"/>
          <w:sz w:val="30"/>
          <w:szCs w:val="30"/>
        </w:rPr>
        <w:t xml:space="preserve"> is the collection of bacteria, fungi, and viruses that live in and on the human body. The intestinal </w:t>
      </w:r>
      <w:proofErr w:type="spellStart"/>
      <w:r w:rsidRPr="00D67FBD">
        <w:rPr>
          <w:rFonts w:ascii="Times New Roman" w:eastAsia="Times New Roman" w:hAnsi="Times New Roman" w:cs="Times New Roman"/>
          <w:color w:val="000000"/>
          <w:sz w:val="30"/>
          <w:szCs w:val="30"/>
        </w:rPr>
        <w:t>microbiome</w:t>
      </w:r>
      <w:proofErr w:type="spellEnd"/>
      <w:r w:rsidRPr="00D67FBD">
        <w:rPr>
          <w:rFonts w:ascii="Times New Roman" w:eastAsia="Times New Roman" w:hAnsi="Times New Roman" w:cs="Times New Roman"/>
          <w:color w:val="000000"/>
          <w:sz w:val="30"/>
          <w:szCs w:val="30"/>
        </w:rPr>
        <w:t xml:space="preserve"> is a diverse collection of over 1000 bacterial species that are increasingly recognized as playing critical roles in host functioning in health and disease. Diet has been shown to influence the composition of the intestinal </w:t>
      </w:r>
      <w:proofErr w:type="spellStart"/>
      <w:r w:rsidRPr="00D67FBD">
        <w:rPr>
          <w:rFonts w:ascii="Times New Roman" w:eastAsia="Times New Roman" w:hAnsi="Times New Roman" w:cs="Times New Roman"/>
          <w:color w:val="000000"/>
          <w:sz w:val="30"/>
          <w:szCs w:val="30"/>
        </w:rPr>
        <w:t>microbiome</w:t>
      </w:r>
      <w:proofErr w:type="spellEnd"/>
      <w:r w:rsidRPr="00D67FBD">
        <w:rPr>
          <w:rFonts w:ascii="Times New Roman" w:eastAsia="Times New Roman" w:hAnsi="Times New Roman" w:cs="Times New Roman"/>
          <w:color w:val="000000"/>
          <w:sz w:val="30"/>
          <w:szCs w:val="30"/>
        </w:rPr>
        <w:t xml:space="preserve"> and associations between the microbial composition and both body mass and type 2 diabetes have been reported. The intestinal </w:t>
      </w:r>
      <w:proofErr w:type="spellStart"/>
      <w:r w:rsidRPr="00D67FBD">
        <w:rPr>
          <w:rFonts w:ascii="Times New Roman" w:eastAsia="Times New Roman" w:hAnsi="Times New Roman" w:cs="Times New Roman"/>
          <w:color w:val="000000"/>
          <w:sz w:val="30"/>
          <w:szCs w:val="30"/>
        </w:rPr>
        <w:t>microbiome</w:t>
      </w:r>
      <w:proofErr w:type="spellEnd"/>
      <w:r w:rsidRPr="00D67FBD">
        <w:rPr>
          <w:rFonts w:ascii="Times New Roman" w:eastAsia="Times New Roman" w:hAnsi="Times New Roman" w:cs="Times New Roman"/>
          <w:color w:val="000000"/>
          <w:sz w:val="30"/>
          <w:szCs w:val="30"/>
        </w:rPr>
        <w:t xml:space="preserve"> can influence intestinal permeability and thereby play a regulatory role in the development of what is referred to as “metabolic </w:t>
      </w:r>
      <w:proofErr w:type="spellStart"/>
      <w:r w:rsidRPr="00D67FBD">
        <w:rPr>
          <w:rFonts w:ascii="Times New Roman" w:eastAsia="Times New Roman" w:hAnsi="Times New Roman" w:cs="Times New Roman"/>
          <w:color w:val="000000"/>
          <w:sz w:val="30"/>
          <w:szCs w:val="30"/>
        </w:rPr>
        <w:t>endotoxemia</w:t>
      </w:r>
      <w:proofErr w:type="spellEnd"/>
      <w:r w:rsidRPr="00D67FBD">
        <w:rPr>
          <w:rFonts w:ascii="Times New Roman" w:eastAsia="Times New Roman" w:hAnsi="Times New Roman" w:cs="Times New Roman"/>
          <w:color w:val="000000"/>
          <w:sz w:val="30"/>
          <w:szCs w:val="30"/>
        </w:rPr>
        <w:t xml:space="preserve">”. Metabolic </w:t>
      </w:r>
      <w:proofErr w:type="spellStart"/>
      <w:r w:rsidRPr="00D67FBD">
        <w:rPr>
          <w:rFonts w:ascii="Times New Roman" w:eastAsia="Times New Roman" w:hAnsi="Times New Roman" w:cs="Times New Roman"/>
          <w:color w:val="000000"/>
          <w:sz w:val="30"/>
          <w:szCs w:val="30"/>
        </w:rPr>
        <w:t>endotoxemia</w:t>
      </w:r>
      <w:proofErr w:type="spellEnd"/>
      <w:r w:rsidRPr="00D67FBD">
        <w:rPr>
          <w:rFonts w:ascii="Times New Roman" w:eastAsia="Times New Roman" w:hAnsi="Times New Roman" w:cs="Times New Roman"/>
          <w:color w:val="000000"/>
          <w:sz w:val="30"/>
          <w:szCs w:val="30"/>
        </w:rPr>
        <w:t xml:space="preserve"> has the potential to activate innate immune pathways that interface with insulin signaling pathways and can affect </w:t>
      </w:r>
      <w:proofErr w:type="spellStart"/>
      <w:r w:rsidRPr="00D67FBD">
        <w:rPr>
          <w:rFonts w:ascii="Times New Roman" w:eastAsia="Times New Roman" w:hAnsi="Times New Roman" w:cs="Times New Roman"/>
          <w:color w:val="000000"/>
          <w:sz w:val="30"/>
          <w:szCs w:val="30"/>
        </w:rPr>
        <w:t>glycemic</w:t>
      </w:r>
      <w:proofErr w:type="spellEnd"/>
      <w:r w:rsidRPr="00D67FBD">
        <w:rPr>
          <w:rFonts w:ascii="Times New Roman" w:eastAsia="Times New Roman" w:hAnsi="Times New Roman" w:cs="Times New Roman"/>
          <w:color w:val="000000"/>
          <w:sz w:val="30"/>
          <w:szCs w:val="30"/>
        </w:rPr>
        <w:t xml:space="preserve"> control. Microbial metabolites can act locally at the intestinal mucosa to regulate </w:t>
      </w:r>
      <w:proofErr w:type="spellStart"/>
      <w:r w:rsidRPr="00D67FBD">
        <w:rPr>
          <w:rFonts w:ascii="Times New Roman" w:eastAsia="Times New Roman" w:hAnsi="Times New Roman" w:cs="Times New Roman"/>
          <w:color w:val="000000"/>
          <w:sz w:val="30"/>
          <w:szCs w:val="30"/>
        </w:rPr>
        <w:t>enteroendocrine</w:t>
      </w:r>
      <w:proofErr w:type="spellEnd"/>
      <w:r w:rsidRPr="00D67FBD">
        <w:rPr>
          <w:rFonts w:ascii="Times New Roman" w:eastAsia="Times New Roman" w:hAnsi="Times New Roman" w:cs="Times New Roman"/>
          <w:color w:val="000000"/>
          <w:sz w:val="30"/>
          <w:szCs w:val="30"/>
        </w:rPr>
        <w:t xml:space="preserve"> cell function, </w:t>
      </w:r>
      <w:proofErr w:type="spellStart"/>
      <w:r w:rsidRPr="00D67FBD">
        <w:rPr>
          <w:rFonts w:ascii="Times New Roman" w:eastAsia="Times New Roman" w:hAnsi="Times New Roman" w:cs="Times New Roman"/>
          <w:color w:val="000000"/>
          <w:sz w:val="30"/>
          <w:szCs w:val="30"/>
        </w:rPr>
        <w:t>incretin</w:t>
      </w:r>
      <w:proofErr w:type="spellEnd"/>
      <w:r w:rsidRPr="00D67FBD">
        <w:rPr>
          <w:rFonts w:ascii="Times New Roman" w:eastAsia="Times New Roman" w:hAnsi="Times New Roman" w:cs="Times New Roman"/>
          <w:color w:val="000000"/>
          <w:sz w:val="30"/>
          <w:szCs w:val="30"/>
        </w:rPr>
        <w:t xml:space="preserve"> signaling and subsequently </w:t>
      </w:r>
      <w:proofErr w:type="spellStart"/>
      <w:r w:rsidRPr="00D67FBD">
        <w:rPr>
          <w:rFonts w:ascii="Times New Roman" w:eastAsia="Times New Roman" w:hAnsi="Times New Roman" w:cs="Times New Roman"/>
          <w:color w:val="000000"/>
          <w:sz w:val="30"/>
          <w:szCs w:val="30"/>
        </w:rPr>
        <w:t>glycemic</w:t>
      </w:r>
      <w:proofErr w:type="spellEnd"/>
      <w:r w:rsidRPr="00D67FBD">
        <w:rPr>
          <w:rFonts w:ascii="Times New Roman" w:eastAsia="Times New Roman" w:hAnsi="Times New Roman" w:cs="Times New Roman"/>
          <w:color w:val="000000"/>
          <w:sz w:val="30"/>
          <w:szCs w:val="30"/>
        </w:rPr>
        <w:t xml:space="preserve"> control. The intestinal </w:t>
      </w:r>
      <w:proofErr w:type="spellStart"/>
      <w:r w:rsidRPr="00D67FBD">
        <w:rPr>
          <w:rFonts w:ascii="Times New Roman" w:eastAsia="Times New Roman" w:hAnsi="Times New Roman" w:cs="Times New Roman"/>
          <w:color w:val="000000"/>
          <w:sz w:val="30"/>
          <w:szCs w:val="30"/>
        </w:rPr>
        <w:t>microbiome</w:t>
      </w:r>
      <w:proofErr w:type="spellEnd"/>
      <w:r w:rsidRPr="00D67FBD">
        <w:rPr>
          <w:rFonts w:ascii="Times New Roman" w:eastAsia="Times New Roman" w:hAnsi="Times New Roman" w:cs="Times New Roman"/>
          <w:color w:val="000000"/>
          <w:sz w:val="30"/>
          <w:szCs w:val="30"/>
        </w:rPr>
        <w:t xml:space="preserve"> can modulate the composition of the bile acid pool and downstream intracellular signaling pathways, including </w:t>
      </w:r>
      <w:proofErr w:type="spellStart"/>
      <w:r w:rsidRPr="00D67FBD">
        <w:rPr>
          <w:rFonts w:ascii="Times New Roman" w:eastAsia="Times New Roman" w:hAnsi="Times New Roman" w:cs="Times New Roman"/>
          <w:color w:val="000000"/>
          <w:sz w:val="30"/>
          <w:szCs w:val="30"/>
        </w:rPr>
        <w:t>farnesoid</w:t>
      </w:r>
      <w:proofErr w:type="spellEnd"/>
      <w:r w:rsidRPr="00D67FBD">
        <w:rPr>
          <w:rFonts w:ascii="Times New Roman" w:eastAsia="Times New Roman" w:hAnsi="Times New Roman" w:cs="Times New Roman"/>
          <w:color w:val="000000"/>
          <w:sz w:val="30"/>
          <w:szCs w:val="30"/>
        </w:rPr>
        <w:t xml:space="preserve"> X receptor (FXR) and G protein-coupled receptor (TGR5), to influence </w:t>
      </w:r>
      <w:proofErr w:type="spellStart"/>
      <w:r w:rsidRPr="00D67FBD">
        <w:rPr>
          <w:rFonts w:ascii="Times New Roman" w:eastAsia="Times New Roman" w:hAnsi="Times New Roman" w:cs="Times New Roman"/>
          <w:color w:val="000000"/>
          <w:sz w:val="30"/>
          <w:szCs w:val="30"/>
        </w:rPr>
        <w:t>glycemic</w:t>
      </w:r>
      <w:proofErr w:type="spellEnd"/>
      <w:r w:rsidRPr="00D67FBD">
        <w:rPr>
          <w:rFonts w:ascii="Times New Roman" w:eastAsia="Times New Roman" w:hAnsi="Times New Roman" w:cs="Times New Roman"/>
          <w:color w:val="000000"/>
          <w:sz w:val="30"/>
          <w:szCs w:val="30"/>
        </w:rPr>
        <w:t xml:space="preserve"> control. The intestinal </w:t>
      </w:r>
      <w:proofErr w:type="spellStart"/>
      <w:r w:rsidRPr="00D67FBD">
        <w:rPr>
          <w:rFonts w:ascii="Times New Roman" w:eastAsia="Times New Roman" w:hAnsi="Times New Roman" w:cs="Times New Roman"/>
          <w:color w:val="000000"/>
          <w:sz w:val="30"/>
          <w:szCs w:val="30"/>
        </w:rPr>
        <w:t>microbiota</w:t>
      </w:r>
      <w:proofErr w:type="spellEnd"/>
      <w:r w:rsidRPr="00D67FBD">
        <w:rPr>
          <w:rFonts w:ascii="Times New Roman" w:eastAsia="Times New Roman" w:hAnsi="Times New Roman" w:cs="Times New Roman"/>
          <w:color w:val="000000"/>
          <w:sz w:val="30"/>
          <w:szCs w:val="30"/>
        </w:rPr>
        <w:t xml:space="preserve"> may also contribute to the risk for type 1 diabetes; as the inappropriate immune education by the </w:t>
      </w:r>
      <w:proofErr w:type="spellStart"/>
      <w:r w:rsidRPr="00D67FBD">
        <w:rPr>
          <w:rFonts w:ascii="Times New Roman" w:eastAsia="Times New Roman" w:hAnsi="Times New Roman" w:cs="Times New Roman"/>
          <w:color w:val="000000"/>
          <w:sz w:val="30"/>
          <w:szCs w:val="30"/>
        </w:rPr>
        <w:t>microbiota</w:t>
      </w:r>
      <w:proofErr w:type="spellEnd"/>
      <w:r w:rsidRPr="00D67FBD">
        <w:rPr>
          <w:rFonts w:ascii="Times New Roman" w:eastAsia="Times New Roman" w:hAnsi="Times New Roman" w:cs="Times New Roman"/>
          <w:color w:val="000000"/>
          <w:sz w:val="30"/>
          <w:szCs w:val="30"/>
        </w:rPr>
        <w:t xml:space="preserve"> may potentiate autoimmune destruction of pancreatic β cells in genetically susceptible individuals. This presentation will give an overview of </w:t>
      </w:r>
      <w:proofErr w:type="spellStart"/>
      <w:r w:rsidRPr="00D67FBD">
        <w:rPr>
          <w:rFonts w:ascii="Times New Roman" w:eastAsia="Times New Roman" w:hAnsi="Times New Roman" w:cs="Times New Roman"/>
          <w:color w:val="000000"/>
          <w:sz w:val="30"/>
          <w:szCs w:val="30"/>
        </w:rPr>
        <w:t>microbiome</w:t>
      </w:r>
      <w:proofErr w:type="spellEnd"/>
      <w:r w:rsidRPr="00D67FBD">
        <w:rPr>
          <w:rFonts w:ascii="Times New Roman" w:eastAsia="Times New Roman" w:hAnsi="Times New Roman" w:cs="Times New Roman"/>
          <w:color w:val="000000"/>
          <w:sz w:val="30"/>
          <w:szCs w:val="30"/>
        </w:rPr>
        <w:t xml:space="preserve"> and it will expose the association of the intestinal </w:t>
      </w:r>
      <w:proofErr w:type="spellStart"/>
      <w:r w:rsidRPr="00D67FBD">
        <w:rPr>
          <w:rFonts w:ascii="Times New Roman" w:eastAsia="Times New Roman" w:hAnsi="Times New Roman" w:cs="Times New Roman"/>
          <w:color w:val="000000"/>
          <w:sz w:val="30"/>
          <w:szCs w:val="30"/>
        </w:rPr>
        <w:t>microbiome</w:t>
      </w:r>
      <w:proofErr w:type="spellEnd"/>
      <w:r w:rsidRPr="00D67FBD">
        <w:rPr>
          <w:rFonts w:ascii="Times New Roman" w:eastAsia="Times New Roman" w:hAnsi="Times New Roman" w:cs="Times New Roman"/>
          <w:color w:val="000000"/>
          <w:sz w:val="30"/>
          <w:szCs w:val="30"/>
        </w:rPr>
        <w:t xml:space="preserve"> to body mass. It will also discuss the effects of alteration of the composition of intestinal </w:t>
      </w:r>
      <w:proofErr w:type="spellStart"/>
      <w:r w:rsidRPr="00D67FBD">
        <w:rPr>
          <w:rFonts w:ascii="Times New Roman" w:eastAsia="Times New Roman" w:hAnsi="Times New Roman" w:cs="Times New Roman"/>
          <w:color w:val="000000"/>
          <w:sz w:val="30"/>
          <w:szCs w:val="30"/>
        </w:rPr>
        <w:t>microbiome</w:t>
      </w:r>
      <w:proofErr w:type="spellEnd"/>
      <w:r w:rsidRPr="00D67FBD">
        <w:rPr>
          <w:rFonts w:ascii="Times New Roman" w:eastAsia="Times New Roman" w:hAnsi="Times New Roman" w:cs="Times New Roman"/>
          <w:color w:val="000000"/>
          <w:sz w:val="30"/>
          <w:szCs w:val="30"/>
        </w:rPr>
        <w:t xml:space="preserve"> in type2 diabetes mellitus (T2DM) and the influence of intestinal </w:t>
      </w:r>
      <w:proofErr w:type="spellStart"/>
      <w:r w:rsidRPr="00D67FBD">
        <w:rPr>
          <w:rFonts w:ascii="Times New Roman" w:eastAsia="Times New Roman" w:hAnsi="Times New Roman" w:cs="Times New Roman"/>
          <w:color w:val="000000"/>
          <w:sz w:val="30"/>
          <w:szCs w:val="30"/>
        </w:rPr>
        <w:t>microbiome</w:t>
      </w:r>
      <w:proofErr w:type="spellEnd"/>
      <w:r w:rsidRPr="00D67FBD">
        <w:rPr>
          <w:rFonts w:ascii="Times New Roman" w:eastAsia="Times New Roman" w:hAnsi="Times New Roman" w:cs="Times New Roman"/>
          <w:color w:val="000000"/>
          <w:sz w:val="30"/>
          <w:szCs w:val="30"/>
        </w:rPr>
        <w:t xml:space="preserve"> on intestinal permeability. The presentation will also explain the metabolic </w:t>
      </w:r>
      <w:proofErr w:type="spellStart"/>
      <w:r w:rsidRPr="00D67FBD">
        <w:rPr>
          <w:rFonts w:ascii="Times New Roman" w:eastAsia="Times New Roman" w:hAnsi="Times New Roman" w:cs="Times New Roman"/>
          <w:color w:val="000000"/>
          <w:sz w:val="30"/>
          <w:szCs w:val="30"/>
        </w:rPr>
        <w:t>endotoxemia</w:t>
      </w:r>
      <w:proofErr w:type="spellEnd"/>
      <w:r w:rsidRPr="00D67FBD">
        <w:rPr>
          <w:rFonts w:ascii="Times New Roman" w:eastAsia="Times New Roman" w:hAnsi="Times New Roman" w:cs="Times New Roman"/>
          <w:color w:val="000000"/>
          <w:sz w:val="30"/>
          <w:szCs w:val="30"/>
        </w:rPr>
        <w:t xml:space="preserve"> and its relation to obesity, diet and the implication </w:t>
      </w:r>
      <w:proofErr w:type="gramStart"/>
      <w:r w:rsidRPr="00D67FBD">
        <w:rPr>
          <w:rFonts w:ascii="Times New Roman" w:eastAsia="Times New Roman" w:hAnsi="Times New Roman" w:cs="Times New Roman"/>
          <w:color w:val="000000"/>
          <w:sz w:val="30"/>
          <w:szCs w:val="30"/>
        </w:rPr>
        <w:t>of  metabolic</w:t>
      </w:r>
      <w:proofErr w:type="gramEnd"/>
      <w:r w:rsidRPr="00D67FBD">
        <w:rPr>
          <w:rFonts w:ascii="Times New Roman" w:eastAsia="Times New Roman" w:hAnsi="Times New Roman" w:cs="Times New Roman"/>
          <w:color w:val="000000"/>
          <w:sz w:val="30"/>
          <w:szCs w:val="30"/>
        </w:rPr>
        <w:t xml:space="preserve"> </w:t>
      </w:r>
      <w:proofErr w:type="spellStart"/>
      <w:r w:rsidRPr="00D67FBD">
        <w:rPr>
          <w:rFonts w:ascii="Times New Roman" w:eastAsia="Times New Roman" w:hAnsi="Times New Roman" w:cs="Times New Roman"/>
          <w:color w:val="000000"/>
          <w:sz w:val="30"/>
          <w:szCs w:val="30"/>
        </w:rPr>
        <w:t>endotoxemia</w:t>
      </w:r>
      <w:proofErr w:type="spellEnd"/>
      <w:r w:rsidRPr="00D67FBD">
        <w:rPr>
          <w:rFonts w:ascii="Times New Roman" w:eastAsia="Times New Roman" w:hAnsi="Times New Roman" w:cs="Times New Roman"/>
          <w:color w:val="000000"/>
          <w:sz w:val="30"/>
          <w:szCs w:val="30"/>
        </w:rPr>
        <w:t xml:space="preserve"> in the risk of T2DM. It will also display the effect of modulation of the intestinal </w:t>
      </w:r>
      <w:proofErr w:type="spellStart"/>
      <w:r w:rsidRPr="00D67FBD">
        <w:rPr>
          <w:rFonts w:ascii="Times New Roman" w:eastAsia="Times New Roman" w:hAnsi="Times New Roman" w:cs="Times New Roman"/>
          <w:color w:val="000000"/>
          <w:sz w:val="30"/>
          <w:szCs w:val="30"/>
        </w:rPr>
        <w:t>microbiome</w:t>
      </w:r>
      <w:proofErr w:type="spellEnd"/>
      <w:r w:rsidRPr="00D67FBD">
        <w:rPr>
          <w:rFonts w:ascii="Times New Roman" w:eastAsia="Times New Roman" w:hAnsi="Times New Roman" w:cs="Times New Roman"/>
          <w:color w:val="000000"/>
          <w:sz w:val="30"/>
          <w:szCs w:val="30"/>
        </w:rPr>
        <w:t xml:space="preserve"> on insulin sensitivity and it will clarify the contribution of the </w:t>
      </w:r>
      <w:proofErr w:type="spellStart"/>
      <w:r w:rsidRPr="00D67FBD">
        <w:rPr>
          <w:rFonts w:ascii="Times New Roman" w:eastAsia="Times New Roman" w:hAnsi="Times New Roman" w:cs="Times New Roman"/>
          <w:color w:val="000000"/>
          <w:sz w:val="30"/>
          <w:szCs w:val="30"/>
        </w:rPr>
        <w:t>microbiome</w:t>
      </w:r>
      <w:proofErr w:type="spellEnd"/>
      <w:r w:rsidRPr="00D67FBD">
        <w:rPr>
          <w:rFonts w:ascii="Times New Roman" w:eastAsia="Times New Roman" w:hAnsi="Times New Roman" w:cs="Times New Roman"/>
          <w:color w:val="000000"/>
          <w:sz w:val="30"/>
          <w:szCs w:val="30"/>
        </w:rPr>
        <w:t xml:space="preserve"> to T2DM risk via the innate immune pathways, modulation of </w:t>
      </w:r>
      <w:proofErr w:type="spellStart"/>
      <w:r w:rsidRPr="00D67FBD">
        <w:rPr>
          <w:rFonts w:ascii="Times New Roman" w:eastAsia="Times New Roman" w:hAnsi="Times New Roman" w:cs="Times New Roman"/>
          <w:color w:val="000000"/>
          <w:sz w:val="30"/>
          <w:szCs w:val="30"/>
        </w:rPr>
        <w:t>enteroendocrine</w:t>
      </w:r>
      <w:proofErr w:type="spellEnd"/>
      <w:r w:rsidRPr="00D67FBD">
        <w:rPr>
          <w:rFonts w:ascii="Times New Roman" w:eastAsia="Times New Roman" w:hAnsi="Times New Roman" w:cs="Times New Roman"/>
          <w:color w:val="000000"/>
          <w:sz w:val="30"/>
          <w:szCs w:val="30"/>
        </w:rPr>
        <w:t xml:space="preserve"> cell function and via modulation of the bile acids. The potential role of the intestinal </w:t>
      </w:r>
      <w:proofErr w:type="spellStart"/>
      <w:r w:rsidRPr="00D67FBD">
        <w:rPr>
          <w:rFonts w:ascii="Times New Roman" w:eastAsia="Times New Roman" w:hAnsi="Times New Roman" w:cs="Times New Roman"/>
          <w:color w:val="000000"/>
          <w:sz w:val="30"/>
          <w:szCs w:val="30"/>
        </w:rPr>
        <w:t>microbiota</w:t>
      </w:r>
      <w:proofErr w:type="spellEnd"/>
      <w:r w:rsidRPr="00D67FBD">
        <w:rPr>
          <w:rFonts w:ascii="Times New Roman" w:eastAsia="Times New Roman" w:hAnsi="Times New Roman" w:cs="Times New Roman"/>
          <w:color w:val="000000"/>
          <w:sz w:val="30"/>
          <w:szCs w:val="30"/>
        </w:rPr>
        <w:t xml:space="preserve"> in type 1 diabetes patients will be also discussed and the future perspectives will be summarized.</w:t>
      </w:r>
    </w:p>
    <w:p w:rsidR="00D67FBD" w:rsidRDefault="00D67FBD" w:rsidP="00D67FBD">
      <w:pPr>
        <w:spacing w:before="120" w:after="0" w:line="240" w:lineRule="auto"/>
        <w:ind w:firstLine="720"/>
        <w:jc w:val="center"/>
        <w:rPr>
          <w:rFonts w:ascii="Times New Roman" w:eastAsia="Times New Roman" w:hAnsi="Times New Roman" w:cs="Times New Roman"/>
          <w:b/>
          <w:bCs/>
          <w:color w:val="000000"/>
          <w:sz w:val="2"/>
          <w:szCs w:val="2"/>
        </w:rPr>
      </w:pPr>
      <w:r w:rsidRPr="00D67FBD">
        <w:rPr>
          <w:rFonts w:ascii="Times New Roman" w:eastAsia="Times New Roman" w:hAnsi="Times New Roman" w:cs="Times New Roman"/>
          <w:b/>
          <w:bCs/>
          <w:color w:val="000000"/>
          <w:sz w:val="40"/>
          <w:szCs w:val="40"/>
        </w:rPr>
        <w:lastRenderedPageBreak/>
        <w:t>BIOGRAPHY</w:t>
      </w:r>
    </w:p>
    <w:p w:rsidR="00D67FBD" w:rsidRDefault="00D67FBD" w:rsidP="00D67FBD">
      <w:pPr>
        <w:spacing w:before="120" w:after="0" w:line="240" w:lineRule="auto"/>
        <w:ind w:firstLine="720"/>
        <w:jc w:val="center"/>
        <w:rPr>
          <w:rFonts w:ascii="Times New Roman" w:eastAsia="Times New Roman" w:hAnsi="Times New Roman" w:cs="Times New Roman"/>
          <w:b/>
          <w:bCs/>
          <w:color w:val="000000"/>
          <w:sz w:val="2"/>
          <w:szCs w:val="2"/>
        </w:rPr>
      </w:pPr>
    </w:p>
    <w:p w:rsidR="00D67FBD" w:rsidRPr="00D67FBD" w:rsidRDefault="00D67FBD" w:rsidP="00D67FBD">
      <w:pPr>
        <w:spacing w:before="120" w:after="0" w:line="240" w:lineRule="auto"/>
        <w:ind w:firstLine="720"/>
        <w:jc w:val="center"/>
        <w:rPr>
          <w:rFonts w:ascii="Times New Roman" w:eastAsia="Times New Roman" w:hAnsi="Times New Roman" w:cs="Times New Roman"/>
          <w:sz w:val="2"/>
          <w:szCs w:val="2"/>
        </w:rPr>
      </w:pPr>
    </w:p>
    <w:p w:rsidR="00D67FBD" w:rsidRPr="00D67FBD" w:rsidRDefault="00D67FBD" w:rsidP="00D67FBD">
      <w:pPr>
        <w:spacing w:after="0" w:line="240" w:lineRule="auto"/>
        <w:rPr>
          <w:rFonts w:ascii="Times New Roman" w:eastAsia="Times New Roman" w:hAnsi="Times New Roman" w:cs="Times New Roman"/>
          <w:sz w:val="24"/>
          <w:szCs w:val="24"/>
        </w:rPr>
      </w:pPr>
    </w:p>
    <w:p w:rsidR="00D67FBD" w:rsidRPr="00D67FBD" w:rsidRDefault="00D67FBD" w:rsidP="00D67FBD">
      <w:pPr>
        <w:spacing w:after="0" w:line="240" w:lineRule="auto"/>
        <w:rPr>
          <w:rFonts w:ascii="Times New Roman" w:eastAsia="Times New Roman" w:hAnsi="Times New Roman" w:cs="Times New Roman"/>
          <w:sz w:val="24"/>
          <w:szCs w:val="24"/>
        </w:rPr>
      </w:pPr>
      <w:r w:rsidRPr="00D67FBD">
        <w:rPr>
          <w:rFonts w:ascii="Times New Roman" w:eastAsia="Times New Roman" w:hAnsi="Times New Roman" w:cs="Times New Roman"/>
          <w:color w:val="000000"/>
          <w:sz w:val="36"/>
          <w:szCs w:val="36"/>
        </w:rPr>
        <w:t>Prof. Hesham Fouad, MD</w:t>
      </w:r>
    </w:p>
    <w:p w:rsidR="00D67FBD" w:rsidRPr="00D67FBD" w:rsidRDefault="00D67FBD" w:rsidP="00D67FBD">
      <w:pPr>
        <w:spacing w:after="0" w:line="240" w:lineRule="auto"/>
        <w:rPr>
          <w:rFonts w:ascii="Times New Roman" w:eastAsia="Times New Roman" w:hAnsi="Times New Roman" w:cs="Times New Roman"/>
          <w:sz w:val="24"/>
          <w:szCs w:val="24"/>
        </w:rPr>
      </w:pPr>
      <w:r w:rsidRPr="00D67FBD">
        <w:rPr>
          <w:rFonts w:ascii="Times New Roman" w:eastAsia="Times New Roman" w:hAnsi="Times New Roman" w:cs="Times New Roman"/>
          <w:i/>
          <w:iCs/>
          <w:color w:val="000000"/>
          <w:sz w:val="32"/>
          <w:szCs w:val="32"/>
        </w:rPr>
        <w:t>Alexandria University</w:t>
      </w:r>
      <w:r w:rsidRPr="00D67FBD">
        <w:rPr>
          <w:rFonts w:ascii="Times New Roman" w:eastAsia="Times New Roman" w:hAnsi="Times New Roman" w:cs="Times New Roman"/>
          <w:color w:val="000000"/>
          <w:sz w:val="32"/>
          <w:szCs w:val="32"/>
        </w:rPr>
        <w:t xml:space="preserve"> </w:t>
      </w:r>
    </w:p>
    <w:p w:rsidR="00D67FBD" w:rsidRPr="00D67FBD" w:rsidRDefault="00D67FBD" w:rsidP="00D67FB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8240" behindDoc="0" locked="0" layoutInCell="1" allowOverlap="1">
            <wp:simplePos x="0" y="0"/>
            <wp:positionH relativeFrom="margin">
              <wp:align>left</wp:align>
            </wp:positionH>
            <wp:positionV relativeFrom="margin">
              <wp:posOffset>1303655</wp:posOffset>
            </wp:positionV>
            <wp:extent cx="1491615" cy="1971675"/>
            <wp:effectExtent l="19050" t="0" r="0" b="0"/>
            <wp:wrapSquare wrapText="bothSides"/>
            <wp:docPr id="2" name="Picture 1" descr="cid:3f724d8e-cb60-4189-9253-68c6225bb123@eurprd01.prod.exchangelab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3f724d8e-cb60-4189-9253-68c6225bb123@eurprd01.prod.exchangelabs.com"/>
                    <pic:cNvPicPr>
                      <a:picLocks noChangeAspect="1" noChangeArrowheads="1"/>
                    </pic:cNvPicPr>
                  </pic:nvPicPr>
                  <pic:blipFill>
                    <a:blip r:embed="rId4"/>
                    <a:srcRect/>
                    <a:stretch>
                      <a:fillRect/>
                    </a:stretch>
                  </pic:blipFill>
                  <pic:spPr bwMode="auto">
                    <a:xfrm>
                      <a:off x="0" y="0"/>
                      <a:ext cx="1491615" cy="1971675"/>
                    </a:xfrm>
                    <a:prstGeom prst="rect">
                      <a:avLst/>
                    </a:prstGeom>
                    <a:noFill/>
                    <a:ln w="9525">
                      <a:noFill/>
                      <a:miter lim="800000"/>
                      <a:headEnd/>
                      <a:tailEnd/>
                    </a:ln>
                  </pic:spPr>
                </pic:pic>
              </a:graphicData>
            </a:graphic>
          </wp:anchor>
        </w:drawing>
      </w:r>
      <w:r w:rsidRPr="00D67FBD">
        <w:rPr>
          <w:rFonts w:ascii="Times New Roman" w:eastAsia="Times New Roman" w:hAnsi="Times New Roman" w:cs="Times New Roman"/>
          <w:sz w:val="24"/>
          <w:szCs w:val="24"/>
        </w:rPr>
        <w:br/>
      </w:r>
      <w:r>
        <w:rPr>
          <w:rFonts w:ascii="Times New Roman" w:eastAsia="Times New Roman" w:hAnsi="Times New Roman" w:cs="Times New Roman"/>
          <w:color w:val="000000"/>
          <w:sz w:val="30"/>
          <w:szCs w:val="30"/>
        </w:rPr>
        <w:t xml:space="preserve">        </w:t>
      </w:r>
      <w:r w:rsidRPr="00D67FBD">
        <w:rPr>
          <w:rFonts w:ascii="Times New Roman" w:eastAsia="Times New Roman" w:hAnsi="Times New Roman" w:cs="Times New Roman"/>
          <w:color w:val="000000"/>
          <w:sz w:val="30"/>
          <w:szCs w:val="30"/>
        </w:rPr>
        <w:t xml:space="preserve">Prof. Hesham Fouad has completed his bachelor’s degree in Medicine and Surgery, postmasters and postdoctoral studies from Alexandria Medical School. He’s a Consultant and was a head of Endocrinology, Diabetes, and Obesity Department at many top leading Teaching Hospitals and Institutes in Egypt and in the Middle East. He has published loads </w:t>
      </w:r>
      <w:proofErr w:type="gramStart"/>
      <w:r w:rsidRPr="00D67FBD">
        <w:rPr>
          <w:rFonts w:ascii="Times New Roman" w:eastAsia="Times New Roman" w:hAnsi="Times New Roman" w:cs="Times New Roman"/>
          <w:color w:val="000000"/>
          <w:sz w:val="30"/>
          <w:szCs w:val="30"/>
        </w:rPr>
        <w:t>of  scientific</w:t>
      </w:r>
      <w:proofErr w:type="gramEnd"/>
      <w:r w:rsidRPr="00D67FBD">
        <w:rPr>
          <w:rFonts w:ascii="Times New Roman" w:eastAsia="Times New Roman" w:hAnsi="Times New Roman" w:cs="Times New Roman"/>
          <w:color w:val="000000"/>
          <w:sz w:val="30"/>
          <w:szCs w:val="30"/>
        </w:rPr>
        <w:t xml:space="preserve"> researches in reputed medical journals and he’s a founder member of many societies. He established a lot of Endocrinology Diabetes and Obesity units and institutes in Egypt and in the </w:t>
      </w:r>
      <w:proofErr w:type="gramStart"/>
      <w:r w:rsidRPr="00D67FBD">
        <w:rPr>
          <w:rFonts w:ascii="Times New Roman" w:eastAsia="Times New Roman" w:hAnsi="Times New Roman" w:cs="Times New Roman"/>
          <w:color w:val="000000"/>
          <w:sz w:val="30"/>
          <w:szCs w:val="30"/>
        </w:rPr>
        <w:t>middle east</w:t>
      </w:r>
      <w:proofErr w:type="gramEnd"/>
      <w:r w:rsidRPr="00D67FBD">
        <w:rPr>
          <w:rFonts w:ascii="Times New Roman" w:eastAsia="Times New Roman" w:hAnsi="Times New Roman" w:cs="Times New Roman"/>
          <w:color w:val="000000"/>
          <w:sz w:val="30"/>
          <w:szCs w:val="30"/>
        </w:rPr>
        <w:t xml:space="preserve">, the most influential one is the Endocrinology and Diabetes Institute in Cairo. He attended as a speaker in plenty of conferences in different </w:t>
      </w:r>
      <w:proofErr w:type="gramStart"/>
      <w:r w:rsidRPr="00D67FBD">
        <w:rPr>
          <w:rFonts w:ascii="Times New Roman" w:eastAsia="Times New Roman" w:hAnsi="Times New Roman" w:cs="Times New Roman"/>
          <w:color w:val="000000"/>
          <w:sz w:val="30"/>
          <w:szCs w:val="30"/>
        </w:rPr>
        <w:t>middle eastern</w:t>
      </w:r>
      <w:proofErr w:type="gramEnd"/>
      <w:r w:rsidRPr="00D67FBD">
        <w:rPr>
          <w:rFonts w:ascii="Times New Roman" w:eastAsia="Times New Roman" w:hAnsi="Times New Roman" w:cs="Times New Roman"/>
          <w:color w:val="000000"/>
          <w:sz w:val="30"/>
          <w:szCs w:val="30"/>
        </w:rPr>
        <w:t xml:space="preserve"> and European countries.</w:t>
      </w:r>
    </w:p>
    <w:p w:rsidR="00D67FBD" w:rsidRPr="00D67FBD" w:rsidRDefault="00D67FBD" w:rsidP="00D67FBD">
      <w:pPr>
        <w:spacing w:after="240" w:line="240" w:lineRule="auto"/>
        <w:jc w:val="both"/>
        <w:rPr>
          <w:rFonts w:ascii="Times New Roman" w:eastAsia="Times New Roman" w:hAnsi="Times New Roman" w:cs="Times New Roman"/>
          <w:sz w:val="24"/>
          <w:szCs w:val="24"/>
        </w:rPr>
      </w:pPr>
      <w:r w:rsidRPr="00D67FBD">
        <w:rPr>
          <w:rFonts w:ascii="Times New Roman" w:eastAsia="Times New Roman" w:hAnsi="Times New Roman" w:cs="Times New Roman"/>
          <w:sz w:val="24"/>
          <w:szCs w:val="24"/>
        </w:rPr>
        <w:br/>
      </w:r>
    </w:p>
    <w:p w:rsidR="00D67FBD" w:rsidRPr="00D67FBD" w:rsidRDefault="00D67FBD" w:rsidP="00D67FBD">
      <w:pPr>
        <w:spacing w:after="0" w:line="240" w:lineRule="auto"/>
        <w:rPr>
          <w:rFonts w:ascii="Times New Roman" w:eastAsia="Times New Roman" w:hAnsi="Times New Roman" w:cs="Times New Roman"/>
          <w:sz w:val="24"/>
          <w:szCs w:val="24"/>
        </w:rPr>
      </w:pPr>
      <w:r w:rsidRPr="00D67FBD">
        <w:rPr>
          <w:rFonts w:ascii="Times New Roman" w:eastAsia="Times New Roman" w:hAnsi="Times New Roman" w:cs="Times New Roman"/>
          <w:b/>
          <w:bCs/>
          <w:color w:val="000000"/>
          <w:sz w:val="30"/>
          <w:szCs w:val="30"/>
        </w:rPr>
        <w:t xml:space="preserve">Full name: </w:t>
      </w:r>
      <w:r w:rsidRPr="00D67FBD">
        <w:rPr>
          <w:rFonts w:ascii="Times New Roman" w:eastAsia="Times New Roman" w:hAnsi="Times New Roman" w:cs="Times New Roman"/>
          <w:i/>
          <w:iCs/>
          <w:color w:val="000000"/>
          <w:sz w:val="30"/>
          <w:szCs w:val="30"/>
        </w:rPr>
        <w:t xml:space="preserve">Hesham Mahmoud Fouad Mohamed. </w:t>
      </w:r>
    </w:p>
    <w:p w:rsidR="00D67FBD" w:rsidRPr="00D67FBD" w:rsidRDefault="00D67FBD" w:rsidP="00D67FBD">
      <w:pPr>
        <w:spacing w:after="0" w:line="240" w:lineRule="auto"/>
        <w:rPr>
          <w:rFonts w:ascii="Times New Roman" w:eastAsia="Times New Roman" w:hAnsi="Times New Roman" w:cs="Times New Roman"/>
          <w:sz w:val="24"/>
          <w:szCs w:val="24"/>
        </w:rPr>
      </w:pPr>
      <w:r w:rsidRPr="00D67FBD">
        <w:rPr>
          <w:rFonts w:ascii="Times New Roman" w:eastAsia="Times New Roman" w:hAnsi="Times New Roman" w:cs="Times New Roman"/>
          <w:b/>
          <w:bCs/>
          <w:color w:val="000000"/>
          <w:sz w:val="30"/>
          <w:szCs w:val="30"/>
        </w:rPr>
        <w:t>Contact number:</w:t>
      </w:r>
      <w:r w:rsidRPr="00D67FBD">
        <w:rPr>
          <w:rFonts w:ascii="Times New Roman" w:eastAsia="Times New Roman" w:hAnsi="Times New Roman" w:cs="Times New Roman"/>
          <w:b/>
          <w:bCs/>
          <w:i/>
          <w:iCs/>
          <w:color w:val="000000"/>
          <w:sz w:val="30"/>
          <w:szCs w:val="30"/>
        </w:rPr>
        <w:t xml:space="preserve"> </w:t>
      </w:r>
      <w:r w:rsidRPr="00D67FBD">
        <w:rPr>
          <w:rFonts w:ascii="Times New Roman" w:eastAsia="Times New Roman" w:hAnsi="Times New Roman" w:cs="Times New Roman"/>
          <w:i/>
          <w:iCs/>
          <w:color w:val="000000"/>
          <w:sz w:val="30"/>
          <w:szCs w:val="30"/>
        </w:rPr>
        <w:t>+965-50503070, +965-97184887</w:t>
      </w:r>
    </w:p>
    <w:p w:rsidR="00D67FBD" w:rsidRPr="00D67FBD" w:rsidRDefault="00D67FBD" w:rsidP="00D67FBD">
      <w:pPr>
        <w:spacing w:after="0" w:line="240" w:lineRule="auto"/>
        <w:rPr>
          <w:rFonts w:ascii="Times New Roman" w:eastAsia="Times New Roman" w:hAnsi="Times New Roman" w:cs="Times New Roman"/>
          <w:sz w:val="24"/>
          <w:szCs w:val="24"/>
        </w:rPr>
      </w:pPr>
      <w:r w:rsidRPr="00D67FBD">
        <w:rPr>
          <w:rFonts w:ascii="Times New Roman" w:eastAsia="Times New Roman" w:hAnsi="Times New Roman" w:cs="Times New Roman"/>
          <w:b/>
          <w:bCs/>
          <w:color w:val="000000"/>
          <w:sz w:val="30"/>
          <w:szCs w:val="30"/>
        </w:rPr>
        <w:t xml:space="preserve">Session name/ number: </w:t>
      </w:r>
      <w:r w:rsidRPr="00D67FBD">
        <w:rPr>
          <w:rFonts w:ascii="Times New Roman" w:eastAsia="Times New Roman" w:hAnsi="Times New Roman" w:cs="Times New Roman"/>
          <w:i/>
          <w:iCs/>
          <w:color w:val="000000"/>
          <w:sz w:val="30"/>
          <w:szCs w:val="30"/>
        </w:rPr>
        <w:t>Yeast</w:t>
      </w:r>
      <w:r w:rsidRPr="00D67FBD">
        <w:rPr>
          <w:rFonts w:ascii="Times New Roman" w:eastAsia="Times New Roman" w:hAnsi="Times New Roman" w:cs="Times New Roman"/>
          <w:b/>
          <w:bCs/>
          <w:i/>
          <w:iCs/>
          <w:color w:val="000000"/>
          <w:sz w:val="30"/>
          <w:szCs w:val="30"/>
        </w:rPr>
        <w:t xml:space="preserve"> </w:t>
      </w:r>
      <w:r w:rsidRPr="00D67FBD">
        <w:rPr>
          <w:rFonts w:ascii="Times New Roman" w:eastAsia="Times New Roman" w:hAnsi="Times New Roman" w:cs="Times New Roman"/>
          <w:i/>
          <w:iCs/>
          <w:color w:val="000000"/>
          <w:sz w:val="30"/>
          <w:szCs w:val="30"/>
        </w:rPr>
        <w:t>Genetic and Molecular Biology</w:t>
      </w:r>
      <w:r w:rsidRPr="00D67FBD">
        <w:rPr>
          <w:rFonts w:ascii="Times New Roman" w:eastAsia="Times New Roman" w:hAnsi="Times New Roman" w:cs="Times New Roman"/>
          <w:color w:val="000000"/>
          <w:sz w:val="30"/>
          <w:szCs w:val="30"/>
        </w:rPr>
        <w:t xml:space="preserve"> </w:t>
      </w:r>
      <w:r w:rsidRPr="00D67FBD">
        <w:rPr>
          <w:rFonts w:ascii="Times New Roman" w:eastAsia="Times New Roman" w:hAnsi="Times New Roman" w:cs="Times New Roman"/>
          <w:b/>
          <w:bCs/>
          <w:color w:val="000000"/>
          <w:sz w:val="30"/>
          <w:szCs w:val="30"/>
        </w:rPr>
        <w:t> </w:t>
      </w:r>
    </w:p>
    <w:p w:rsidR="00D67FBD" w:rsidRPr="00D67FBD" w:rsidRDefault="00D67FBD" w:rsidP="00D67FBD">
      <w:pPr>
        <w:spacing w:after="0" w:line="240" w:lineRule="auto"/>
        <w:rPr>
          <w:rFonts w:ascii="Times New Roman" w:eastAsia="Times New Roman" w:hAnsi="Times New Roman" w:cs="Times New Roman"/>
          <w:sz w:val="24"/>
          <w:szCs w:val="24"/>
        </w:rPr>
      </w:pPr>
      <w:r w:rsidRPr="00D67FBD">
        <w:rPr>
          <w:rFonts w:ascii="Times New Roman" w:eastAsia="Times New Roman" w:hAnsi="Times New Roman" w:cs="Times New Roman"/>
          <w:b/>
          <w:bCs/>
          <w:color w:val="000000"/>
          <w:sz w:val="30"/>
          <w:szCs w:val="30"/>
        </w:rPr>
        <w:t xml:space="preserve">Category: </w:t>
      </w:r>
      <w:r w:rsidRPr="00D67FBD">
        <w:rPr>
          <w:rFonts w:ascii="Times New Roman" w:eastAsia="Times New Roman" w:hAnsi="Times New Roman" w:cs="Times New Roman"/>
          <w:i/>
          <w:iCs/>
          <w:color w:val="000000"/>
          <w:sz w:val="30"/>
          <w:szCs w:val="30"/>
        </w:rPr>
        <w:t>Oral presentation</w:t>
      </w:r>
      <w:r w:rsidRPr="00D67FBD">
        <w:rPr>
          <w:rFonts w:ascii="Times New Roman" w:eastAsia="Times New Roman" w:hAnsi="Times New Roman" w:cs="Times New Roman"/>
          <w:color w:val="000000"/>
          <w:sz w:val="30"/>
          <w:szCs w:val="30"/>
        </w:rPr>
        <w:t xml:space="preserve">. </w:t>
      </w:r>
    </w:p>
    <w:p w:rsidR="008249CD" w:rsidRDefault="008249CD"/>
    <w:sectPr w:rsidR="008249CD" w:rsidSect="008249C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67FBD"/>
    <w:rsid w:val="0004581F"/>
    <w:rsid w:val="00070304"/>
    <w:rsid w:val="000778BD"/>
    <w:rsid w:val="000A7306"/>
    <w:rsid w:val="000F22D2"/>
    <w:rsid w:val="00100F25"/>
    <w:rsid w:val="00155180"/>
    <w:rsid w:val="00211AB1"/>
    <w:rsid w:val="00223BD2"/>
    <w:rsid w:val="00233248"/>
    <w:rsid w:val="0026446C"/>
    <w:rsid w:val="002820B4"/>
    <w:rsid w:val="00391C17"/>
    <w:rsid w:val="003C6A85"/>
    <w:rsid w:val="005A7ACF"/>
    <w:rsid w:val="00670131"/>
    <w:rsid w:val="00671CCA"/>
    <w:rsid w:val="008178DE"/>
    <w:rsid w:val="008249CD"/>
    <w:rsid w:val="008D7B69"/>
    <w:rsid w:val="009D47B9"/>
    <w:rsid w:val="00AE61D5"/>
    <w:rsid w:val="00B91530"/>
    <w:rsid w:val="00CF11A1"/>
    <w:rsid w:val="00D05EF1"/>
    <w:rsid w:val="00D67FBD"/>
    <w:rsid w:val="00E315AC"/>
    <w:rsid w:val="00E31A9F"/>
    <w:rsid w:val="00ED4DA7"/>
    <w:rsid w:val="00EF43E4"/>
    <w:rsid w:val="00FB3893"/>
    <w:rsid w:val="00FD401F"/>
    <w:rsid w:val="00FD48B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9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7FB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67F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FB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1246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503</Words>
  <Characters>2868</Characters>
  <Application>Microsoft Office Word</Application>
  <DocSecurity>0</DocSecurity>
  <Lines>23</Lines>
  <Paragraphs>6</Paragraphs>
  <ScaleCrop>false</ScaleCrop>
  <Company/>
  <LinksUpToDate>false</LinksUpToDate>
  <CharactersWithSpaces>3365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hfouad</dc:creator>
  <cp:lastModifiedBy>hfouad</cp:lastModifiedBy>
  <cp:revision>1</cp:revision>
  <dcterms:created xsi:type="dcterms:W3CDTF">2019-01-09T09:03:00Z</dcterms:created>
  <dcterms:modified xsi:type="dcterms:W3CDTF">2019-01-09T09:08:00Z</dcterms:modified>
</cp:coreProperties>
</file>