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E2F" w:rsidRDefault="00AF3E2F" w:rsidP="00AF3E2F">
      <w:pPr>
        <w:pStyle w:val="Ttulo1"/>
        <w:spacing w:before="170"/>
        <w:ind w:left="0"/>
        <w:rPr>
          <w:color w:val="337AB7"/>
        </w:rPr>
      </w:pPr>
      <w:r>
        <w:rPr>
          <w:color w:val="337AB7"/>
        </w:rPr>
        <w:t xml:space="preserve">Capecitabine and Sorafenib: Incidence of hand-foot syndrome, adherence to treatment and quality of life in patients during </w:t>
      </w:r>
      <w:proofErr w:type="spellStart"/>
      <w:r>
        <w:rPr>
          <w:color w:val="337AB7"/>
        </w:rPr>
        <w:t>chemotheraphy</w:t>
      </w:r>
      <w:proofErr w:type="spellEnd"/>
    </w:p>
    <w:p w:rsidR="00AF3E2F" w:rsidRDefault="00AF3E2F" w:rsidP="00AF3E2F">
      <w:pPr>
        <w:pStyle w:val="Corpodetexto"/>
        <w:spacing w:before="73" w:line="198" w:lineRule="exact"/>
        <w:ind w:left="100" w:right="58"/>
        <w:rPr>
          <w:rFonts w:ascii="Arial"/>
        </w:rPr>
      </w:pPr>
      <w:proofErr w:type="spellStart"/>
      <w:r>
        <w:rPr>
          <w:rFonts w:ascii="Arial"/>
        </w:rPr>
        <w:t>La</w:t>
      </w:r>
      <w:r>
        <w:rPr>
          <w:rFonts w:ascii="Arial"/>
        </w:rPr>
        <w:t>í</w:t>
      </w:r>
      <w:r>
        <w:rPr>
          <w:rFonts w:ascii="Arial"/>
        </w:rPr>
        <w:t>s</w:t>
      </w:r>
      <w:proofErr w:type="spellEnd"/>
      <w:r>
        <w:rPr>
          <w:rFonts w:ascii="Arial"/>
        </w:rPr>
        <w:t xml:space="preserve"> S. </w:t>
      </w:r>
      <w:proofErr w:type="spellStart"/>
      <w:r>
        <w:rPr>
          <w:rFonts w:ascii="Arial"/>
        </w:rPr>
        <w:t>Amaral</w:t>
      </w:r>
      <w:proofErr w:type="spellEnd"/>
      <w:r>
        <w:rPr>
          <w:rFonts w:ascii="Arial"/>
        </w:rPr>
        <w:t>, School of Medical Sciences, University of Campinas, Brazil</w:t>
      </w:r>
    </w:p>
    <w:p w:rsidR="00AF3E2F" w:rsidRDefault="00AF3E2F" w:rsidP="00AF3E2F">
      <w:pPr>
        <w:pStyle w:val="Corpodetexto"/>
        <w:spacing w:before="73" w:line="198" w:lineRule="exact"/>
        <w:ind w:left="100" w:right="58"/>
        <w:rPr>
          <w:rFonts w:ascii="Arial"/>
        </w:rPr>
      </w:pPr>
      <w:proofErr w:type="spellStart"/>
      <w:r>
        <w:rPr>
          <w:rFonts w:ascii="Arial"/>
        </w:rPr>
        <w:t>Graziele</w:t>
      </w:r>
      <w:proofErr w:type="spellEnd"/>
      <w:r>
        <w:rPr>
          <w:rFonts w:ascii="Arial"/>
        </w:rPr>
        <w:t xml:space="preserve"> B. Ferrari,</w:t>
      </w:r>
      <w:r w:rsidRPr="00BB4EEA">
        <w:rPr>
          <w:rFonts w:ascii="Arial"/>
        </w:rPr>
        <w:t xml:space="preserve"> </w:t>
      </w:r>
      <w:r>
        <w:rPr>
          <w:rFonts w:ascii="Arial"/>
        </w:rPr>
        <w:t xml:space="preserve">School of Medical Sciences, University of Campinas, Brazil </w:t>
      </w:r>
    </w:p>
    <w:p w:rsidR="00AF3E2F" w:rsidRDefault="00AF3E2F" w:rsidP="00AF3E2F">
      <w:pPr>
        <w:pStyle w:val="Corpodetexto"/>
        <w:spacing w:before="73" w:line="198" w:lineRule="exact"/>
        <w:ind w:left="100" w:right="58"/>
        <w:rPr>
          <w:rFonts w:ascii="Arial"/>
        </w:rPr>
      </w:pPr>
      <w:r w:rsidRPr="00BB4EEA">
        <w:rPr>
          <w:rFonts w:ascii="Arial"/>
        </w:rPr>
        <w:t xml:space="preserve">Marilia B. </w:t>
      </w:r>
      <w:proofErr w:type="spellStart"/>
      <w:r w:rsidRPr="00BB4EEA">
        <w:rPr>
          <w:rFonts w:ascii="Arial"/>
        </w:rPr>
        <w:t>Visacri</w:t>
      </w:r>
      <w:proofErr w:type="spellEnd"/>
      <w:r w:rsidRPr="00BB4EEA">
        <w:rPr>
          <w:rFonts w:ascii="Arial"/>
        </w:rPr>
        <w:t>, M.Sc., School</w:t>
      </w:r>
      <w:r>
        <w:rPr>
          <w:rFonts w:ascii="Arial"/>
        </w:rPr>
        <w:t xml:space="preserve"> of Medical Sciences, University of Campinas, Brazil</w:t>
      </w:r>
    </w:p>
    <w:p w:rsidR="00AF3E2F" w:rsidRPr="00515534" w:rsidRDefault="00AF3E2F" w:rsidP="00AF3E2F">
      <w:pPr>
        <w:pStyle w:val="Corpodetexto"/>
        <w:spacing w:before="73" w:line="198" w:lineRule="exact"/>
        <w:ind w:left="100" w:right="58"/>
        <w:rPr>
          <w:rFonts w:ascii="Arial"/>
        </w:rPr>
      </w:pPr>
      <w:proofErr w:type="spellStart"/>
      <w:r w:rsidRPr="00515534">
        <w:rPr>
          <w:rFonts w:ascii="Arial"/>
        </w:rPr>
        <w:t>Jo</w:t>
      </w:r>
      <w:r w:rsidRPr="00515534">
        <w:rPr>
          <w:rFonts w:ascii="Arial"/>
        </w:rPr>
        <w:t>ã</w:t>
      </w:r>
      <w:r>
        <w:rPr>
          <w:rFonts w:ascii="Arial"/>
        </w:rPr>
        <w:t>o</w:t>
      </w:r>
      <w:proofErr w:type="spellEnd"/>
      <w:r>
        <w:rPr>
          <w:rFonts w:ascii="Arial"/>
        </w:rPr>
        <w:t xml:space="preserve"> P. </w:t>
      </w:r>
      <w:r w:rsidRPr="00515534">
        <w:rPr>
          <w:rFonts w:ascii="Arial"/>
        </w:rPr>
        <w:t xml:space="preserve">O. </w:t>
      </w:r>
      <w:proofErr w:type="spellStart"/>
      <w:r w:rsidRPr="00515534">
        <w:rPr>
          <w:rFonts w:ascii="Arial"/>
        </w:rPr>
        <w:t>Guarnieri</w:t>
      </w:r>
      <w:proofErr w:type="spellEnd"/>
      <w:r w:rsidRPr="00515534">
        <w:rPr>
          <w:rFonts w:ascii="Arial"/>
        </w:rPr>
        <w:t xml:space="preserve">, </w:t>
      </w:r>
      <w:r>
        <w:rPr>
          <w:rFonts w:ascii="Arial"/>
        </w:rPr>
        <w:t>Faculty of Pharmaceutical Sciences, University of Campinas, Brazil</w:t>
      </w:r>
    </w:p>
    <w:p w:rsidR="00AF3E2F" w:rsidRPr="00BB4EEA" w:rsidRDefault="00AF3E2F" w:rsidP="00AF3E2F">
      <w:pPr>
        <w:pStyle w:val="Corpodetexto"/>
        <w:spacing w:before="73" w:line="198" w:lineRule="exact"/>
        <w:ind w:left="100" w:right="58"/>
        <w:rPr>
          <w:rFonts w:ascii="Arial"/>
        </w:rPr>
      </w:pPr>
      <w:r>
        <w:rPr>
          <w:rFonts w:ascii="Arial"/>
        </w:rPr>
        <w:t>Patricia Moriel, Ph.D., Faculty of Pharmaceutical Sciences, University of Campinas, Brazil</w:t>
      </w: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p>
    <w:p w:rsidR="00AE3E37" w:rsidRDefault="00AF3E2F">
      <w:pPr>
        <w:pStyle w:val="Corpodetexto"/>
        <w:spacing w:before="90" w:line="280" w:lineRule="auto"/>
        <w:ind w:left="100"/>
        <w:jc w:val="both"/>
      </w:pPr>
      <w:r w:rsidRPr="00B26B50">
        <w:rPr>
          <w:rFonts w:cs="Times New Roman"/>
        </w:rPr>
        <w:t xml:space="preserve">Statement of the Problem: Capecitabine (CAP) and </w:t>
      </w:r>
      <w:proofErr w:type="spellStart"/>
      <w:r w:rsidRPr="00B26B50">
        <w:rPr>
          <w:rFonts w:cs="Times New Roman"/>
        </w:rPr>
        <w:t>sorafenib</w:t>
      </w:r>
      <w:proofErr w:type="spellEnd"/>
      <w:r w:rsidRPr="00B26B50">
        <w:rPr>
          <w:rFonts w:cs="Times New Roman"/>
        </w:rPr>
        <w:t xml:space="preserve"> (SOR) are oral </w:t>
      </w:r>
      <w:proofErr w:type="spellStart"/>
      <w:r w:rsidRPr="00B26B50">
        <w:rPr>
          <w:rFonts w:cs="Times New Roman"/>
        </w:rPr>
        <w:t>antineoplastics</w:t>
      </w:r>
      <w:proofErr w:type="spellEnd"/>
      <w:r w:rsidRPr="00B26B50">
        <w:rPr>
          <w:rFonts w:cs="Times New Roman"/>
        </w:rPr>
        <w:t xml:space="preserve"> indicated for colorectal (CR) and gastric (ST) cancer and hepatocellular carcinoma (HCC), respectively. If not taken properly, the treatment may be at risk. The pharmacist develops an important role to guarantee the adherence to oral </w:t>
      </w:r>
      <w:proofErr w:type="spellStart"/>
      <w:r w:rsidRPr="00B26B50">
        <w:rPr>
          <w:rFonts w:cs="Times New Roman"/>
        </w:rPr>
        <w:t>antineoplastics</w:t>
      </w:r>
      <w:proofErr w:type="spellEnd"/>
      <w:r w:rsidRPr="00B26B50">
        <w:rPr>
          <w:rFonts w:cs="Times New Roman"/>
        </w:rPr>
        <w:t xml:space="preserve"> ensuring the right information which directly influences in treatment. The purpose of this study is to describe the patients in use of CAP and SOR, the incidence of hand-foot syndrome (HSF), adherence to therapy and quality of life (</w:t>
      </w:r>
      <w:proofErr w:type="spellStart"/>
      <w:r w:rsidRPr="00B26B50">
        <w:rPr>
          <w:rFonts w:cs="Times New Roman"/>
        </w:rPr>
        <w:t>QoL</w:t>
      </w:r>
      <w:proofErr w:type="spellEnd"/>
      <w:r w:rsidRPr="00B26B50">
        <w:rPr>
          <w:rFonts w:cs="Times New Roman"/>
        </w:rPr>
        <w:t xml:space="preserve">). Methodology &amp; Theoretical Orientation: This is a prospective, longitudinal and observational study. The patients were followed up during three cycles of chemotherapy and analyzed for HFS incidence based on self-observation; knowledge to therapy with </w:t>
      </w:r>
      <w:proofErr w:type="spellStart"/>
      <w:r w:rsidRPr="00B26B50">
        <w:rPr>
          <w:rFonts w:cs="Times New Roman"/>
        </w:rPr>
        <w:t>MedTake</w:t>
      </w:r>
      <w:proofErr w:type="spellEnd"/>
      <w:r w:rsidRPr="00B26B50">
        <w:rPr>
          <w:rFonts w:cs="Times New Roman"/>
        </w:rPr>
        <w:t xml:space="preserve"> test; adherence to treatment with </w:t>
      </w:r>
      <w:proofErr w:type="spellStart"/>
      <w:r w:rsidRPr="00B26B50">
        <w:rPr>
          <w:rFonts w:cs="Times New Roman"/>
        </w:rPr>
        <w:t>Morisky</w:t>
      </w:r>
      <w:proofErr w:type="spellEnd"/>
      <w:r w:rsidRPr="00B26B50">
        <w:rPr>
          <w:rFonts w:cs="Times New Roman"/>
        </w:rPr>
        <w:t xml:space="preserve">-Green test. </w:t>
      </w:r>
      <w:proofErr w:type="spellStart"/>
      <w:r w:rsidRPr="00B26B50">
        <w:rPr>
          <w:rFonts w:cs="Times New Roman"/>
        </w:rPr>
        <w:t>QoL</w:t>
      </w:r>
      <w:proofErr w:type="spellEnd"/>
      <w:r w:rsidRPr="00B26B50">
        <w:rPr>
          <w:rFonts w:cs="Times New Roman"/>
        </w:rPr>
        <w:t xml:space="preserve"> was analyzed before the first and after the third cycle of chemotherapy through the general EORTC-QLC-30 and specific questionnaires EORTC-QLC-ST-022 for ST, EORTC-QLC-CR-29 for CR for patients in treatment with CAP and, before and after the first cycle of chemotherapy through the general EORTC-QLC-30 and specific questionnaire EORTC-QLC-HCC-18 for patients in treatment with SOR for HCC. Findings: The patients were male (CAP 53.85%; SOR 93.33%) </w:t>
      </w:r>
      <w:proofErr w:type="spellStart"/>
      <w:proofErr w:type="gramStart"/>
      <w:r w:rsidRPr="00B26B50">
        <w:rPr>
          <w:rFonts w:cs="Times New Roman"/>
        </w:rPr>
        <w:t>caucasian</w:t>
      </w:r>
      <w:proofErr w:type="spellEnd"/>
      <w:proofErr w:type="gramEnd"/>
      <w:r w:rsidRPr="00B26B50">
        <w:rPr>
          <w:rFonts w:cs="Times New Roman"/>
        </w:rPr>
        <w:t xml:space="preserve"> (CAP 76.92%; SOR 86.67%) and tumors were in advanced stages (CAP 53.85% stage IV; SOR 60.00% BCLC C). </w:t>
      </w:r>
      <w:proofErr w:type="spellStart"/>
      <w:r w:rsidRPr="00B26B50">
        <w:rPr>
          <w:rFonts w:cs="Times New Roman"/>
        </w:rPr>
        <w:t>MedTake</w:t>
      </w:r>
      <w:proofErr w:type="spellEnd"/>
      <w:r w:rsidRPr="00B26B50">
        <w:rPr>
          <w:rFonts w:cs="Times New Roman"/>
        </w:rPr>
        <w:t xml:space="preserve"> indicated a high knowledge to therapy and, in both cases medicine dosage was the most common mistake. </w:t>
      </w:r>
      <w:proofErr w:type="spellStart"/>
      <w:r w:rsidRPr="00B26B50">
        <w:rPr>
          <w:rFonts w:cs="Times New Roman"/>
        </w:rPr>
        <w:t>Morisky</w:t>
      </w:r>
      <w:proofErr w:type="spellEnd"/>
      <w:r w:rsidRPr="00B26B50">
        <w:rPr>
          <w:rFonts w:cs="Times New Roman"/>
        </w:rPr>
        <w:t xml:space="preserve">-Green also indicated a high adherence to both therapies but, patients frequently forgot to take their medicines and were careless about the timetable. The </w:t>
      </w:r>
      <w:proofErr w:type="spellStart"/>
      <w:r w:rsidRPr="00B26B50">
        <w:rPr>
          <w:rFonts w:cs="Times New Roman"/>
        </w:rPr>
        <w:t>QoL</w:t>
      </w:r>
      <w:proofErr w:type="spellEnd"/>
      <w:r w:rsidRPr="00B26B50">
        <w:rPr>
          <w:rFonts w:cs="Times New Roman"/>
        </w:rPr>
        <w:t xml:space="preserve"> decreased in both cases and the HFS was common in patients taking CAP at the second and third cycles of chemotherapy. Conclusion &amp; Significance: </w:t>
      </w:r>
      <w:proofErr w:type="spellStart"/>
      <w:r w:rsidRPr="00B26B50">
        <w:rPr>
          <w:rFonts w:cs="Times New Roman"/>
        </w:rPr>
        <w:t>QoL</w:t>
      </w:r>
      <w:proofErr w:type="spellEnd"/>
      <w:r w:rsidRPr="00B26B50">
        <w:rPr>
          <w:rFonts w:cs="Times New Roman"/>
        </w:rPr>
        <w:t xml:space="preserve"> decreased despite the fact that the adherence to therapies was high.</w:t>
      </w:r>
      <w:r w:rsidR="00404E5B">
        <w:t xml:space="preserve"> </w:t>
      </w:r>
    </w:p>
    <w:p w:rsidR="00AE3E37" w:rsidRDefault="00A9710C">
      <w:pPr>
        <w:pStyle w:val="Ttulo3"/>
        <w:spacing w:before="74"/>
      </w:pPr>
      <w:r>
        <w:rPr>
          <w:b w:val="0"/>
        </w:rPr>
        <w:br w:type="column"/>
      </w:r>
      <w:r>
        <w:rPr>
          <w:color w:val="BF5A14"/>
        </w:rPr>
        <w:lastRenderedPageBreak/>
        <w:t>Image</w:t>
      </w:r>
    </w:p>
    <w:p w:rsidR="00AE3E37" w:rsidRDefault="00AF3E2F">
      <w:pPr>
        <w:pStyle w:val="Corpodetexto"/>
        <w:spacing w:before="2"/>
        <w:rPr>
          <w:noProof/>
          <w:lang w:val="pt-BR" w:eastAsia="pt-BR"/>
        </w:rPr>
      </w:pPr>
      <w:r>
        <w:rPr>
          <w:noProof/>
          <w:lang w:val="pt-BR" w:eastAsia="pt-BR"/>
        </w:rPr>
        <w:drawing>
          <wp:inline distT="0" distB="0" distL="0" distR="0" wp14:anchorId="390A7802" wp14:editId="61AAC3CF">
            <wp:extent cx="3165475" cy="1901710"/>
            <wp:effectExtent l="0" t="0" r="0" b="22860"/>
            <wp:docPr id="3"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AF3E2F" w:rsidRDefault="00AF3E2F">
      <w:pPr>
        <w:pStyle w:val="Corpodetexto"/>
        <w:spacing w:before="2"/>
        <w:rPr>
          <w:rFonts w:ascii="Arial"/>
          <w:b/>
          <w:sz w:val="16"/>
        </w:rPr>
      </w:pPr>
      <w:r w:rsidRPr="00AF3E2F">
        <w:rPr>
          <w:noProof/>
          <w:lang w:eastAsia="pt-BR"/>
        </w:rPr>
        <w:t xml:space="preserve">Figure 1: </w:t>
      </w:r>
      <w:r w:rsidRPr="00AF3E2F">
        <w:t>Benefits of pharmaceutical care for patients.</w:t>
      </w:r>
    </w:p>
    <w:p w:rsidR="005973B9" w:rsidRDefault="005973B9" w:rsidP="005973B9">
      <w:pPr>
        <w:spacing w:line="204" w:lineRule="exact"/>
        <w:rPr>
          <w:rFonts w:ascii="Arial"/>
          <w:b/>
          <w:sz w:val="20"/>
        </w:rPr>
      </w:pPr>
      <w:r>
        <w:rPr>
          <w:rFonts w:ascii="Arial"/>
          <w:b/>
          <w:color w:val="BF5A14"/>
          <w:sz w:val="20"/>
        </w:rPr>
        <w:br/>
        <w:t xml:space="preserve">Recent Publications </w:t>
      </w:r>
    </w:p>
    <w:p w:rsidR="00AF3E2F" w:rsidRDefault="00AF3E2F" w:rsidP="00AF3E2F">
      <w:pPr>
        <w:pStyle w:val="PargrafodaLista"/>
        <w:numPr>
          <w:ilvl w:val="0"/>
          <w:numId w:val="3"/>
        </w:numPr>
        <w:tabs>
          <w:tab w:val="left" w:pos="384"/>
        </w:tabs>
        <w:spacing w:line="216" w:lineRule="exact"/>
        <w:ind w:right="137"/>
        <w:rPr>
          <w:sz w:val="18"/>
        </w:rPr>
      </w:pPr>
      <w:proofErr w:type="spellStart"/>
      <w:r w:rsidRPr="00D6584C">
        <w:rPr>
          <w:sz w:val="18"/>
        </w:rPr>
        <w:t>Fernández</w:t>
      </w:r>
      <w:proofErr w:type="spellEnd"/>
      <w:r w:rsidRPr="00D6584C">
        <w:rPr>
          <w:sz w:val="18"/>
        </w:rPr>
        <w:t xml:space="preserve">-Ribeiro F, </w:t>
      </w:r>
      <w:proofErr w:type="spellStart"/>
      <w:r w:rsidRPr="00D6584C">
        <w:rPr>
          <w:sz w:val="18"/>
        </w:rPr>
        <w:t>Olivera-Fernández</w:t>
      </w:r>
      <w:proofErr w:type="spellEnd"/>
      <w:r w:rsidRPr="00D6584C">
        <w:rPr>
          <w:sz w:val="18"/>
        </w:rPr>
        <w:t xml:space="preserve"> R, Crespo-</w:t>
      </w:r>
      <w:proofErr w:type="spellStart"/>
      <w:r w:rsidRPr="00D6584C">
        <w:rPr>
          <w:sz w:val="18"/>
        </w:rPr>
        <w:t>Diz</w:t>
      </w:r>
      <w:proofErr w:type="spellEnd"/>
      <w:r w:rsidRPr="00D6584C">
        <w:rPr>
          <w:sz w:val="18"/>
        </w:rPr>
        <w:t xml:space="preserve"> C (2017) Adherence and safety study in patients on treatment with </w:t>
      </w:r>
      <w:proofErr w:type="spellStart"/>
      <w:r w:rsidRPr="00D6584C">
        <w:rPr>
          <w:sz w:val="18"/>
        </w:rPr>
        <w:t>capecitabine</w:t>
      </w:r>
      <w:proofErr w:type="spellEnd"/>
      <w:r w:rsidRPr="00D6584C">
        <w:rPr>
          <w:sz w:val="18"/>
        </w:rPr>
        <w:t xml:space="preserve">. Farm </w:t>
      </w:r>
      <w:proofErr w:type="spellStart"/>
      <w:r w:rsidRPr="00D6584C">
        <w:rPr>
          <w:sz w:val="18"/>
        </w:rPr>
        <w:t>Hosp</w:t>
      </w:r>
      <w:proofErr w:type="spellEnd"/>
      <w:r w:rsidRPr="00D6584C">
        <w:rPr>
          <w:sz w:val="18"/>
        </w:rPr>
        <w:t xml:space="preserve"> 41:204-221.</w:t>
      </w:r>
    </w:p>
    <w:p w:rsidR="00AF3E2F" w:rsidRDefault="00AF3E2F" w:rsidP="00AF3E2F">
      <w:pPr>
        <w:pStyle w:val="PargrafodaLista"/>
        <w:numPr>
          <w:ilvl w:val="0"/>
          <w:numId w:val="3"/>
        </w:numPr>
        <w:tabs>
          <w:tab w:val="left" w:pos="384"/>
        </w:tabs>
        <w:spacing w:line="216" w:lineRule="exact"/>
        <w:ind w:right="137"/>
        <w:rPr>
          <w:sz w:val="18"/>
        </w:rPr>
      </w:pPr>
      <w:proofErr w:type="spellStart"/>
      <w:r w:rsidRPr="005C0B3C">
        <w:rPr>
          <w:sz w:val="18"/>
        </w:rPr>
        <w:t>Battis</w:t>
      </w:r>
      <w:proofErr w:type="spellEnd"/>
      <w:r w:rsidRPr="005C0B3C">
        <w:rPr>
          <w:sz w:val="18"/>
        </w:rPr>
        <w:t xml:space="preserve"> B, Clifford L, </w:t>
      </w:r>
      <w:proofErr w:type="spellStart"/>
      <w:r w:rsidRPr="005C0B3C">
        <w:rPr>
          <w:sz w:val="18"/>
        </w:rPr>
        <w:t>Huq</w:t>
      </w:r>
      <w:proofErr w:type="spellEnd"/>
      <w:r w:rsidRPr="005C0B3C">
        <w:rPr>
          <w:sz w:val="18"/>
        </w:rPr>
        <w:t xml:space="preserve"> M, </w:t>
      </w:r>
      <w:proofErr w:type="spellStart"/>
      <w:r w:rsidRPr="005C0B3C">
        <w:rPr>
          <w:sz w:val="18"/>
        </w:rPr>
        <w:t>Pejoro</w:t>
      </w:r>
      <w:proofErr w:type="spellEnd"/>
      <w:r w:rsidRPr="005C0B3C">
        <w:rPr>
          <w:sz w:val="18"/>
        </w:rPr>
        <w:t xml:space="preserve"> E, </w:t>
      </w:r>
      <w:proofErr w:type="spellStart"/>
      <w:r w:rsidRPr="005C0B3C">
        <w:rPr>
          <w:sz w:val="18"/>
        </w:rPr>
        <w:t>Mambourg</w:t>
      </w:r>
      <w:proofErr w:type="spellEnd"/>
      <w:r w:rsidRPr="005C0B3C">
        <w:rPr>
          <w:sz w:val="18"/>
        </w:rPr>
        <w:t xml:space="preserve"> S. (2016) The impacts of a pharmacist-managed outpatient clinic and chemotherapy-directed electronic order sets for monitoring oral chemotherapy. J </w:t>
      </w:r>
      <w:proofErr w:type="spellStart"/>
      <w:r w:rsidRPr="005C0B3C">
        <w:rPr>
          <w:sz w:val="18"/>
        </w:rPr>
        <w:t>Oncol</w:t>
      </w:r>
      <w:proofErr w:type="spellEnd"/>
      <w:r w:rsidRPr="005C0B3C">
        <w:rPr>
          <w:sz w:val="18"/>
        </w:rPr>
        <w:t xml:space="preserve"> Pharm </w:t>
      </w:r>
      <w:proofErr w:type="spellStart"/>
      <w:r w:rsidRPr="005C0B3C">
        <w:rPr>
          <w:sz w:val="18"/>
        </w:rPr>
        <w:t>Pract</w:t>
      </w:r>
      <w:proofErr w:type="spellEnd"/>
      <w:r w:rsidRPr="005C0B3C">
        <w:rPr>
          <w:sz w:val="18"/>
        </w:rPr>
        <w:t xml:space="preserve"> 0</w:t>
      </w:r>
      <w:r>
        <w:rPr>
          <w:sz w:val="18"/>
        </w:rPr>
        <w:t>:</w:t>
      </w:r>
      <w:r w:rsidRPr="005C0B3C">
        <w:rPr>
          <w:sz w:val="18"/>
        </w:rPr>
        <w:t xml:space="preserve"> 1-9. </w:t>
      </w:r>
      <w:r>
        <w:rPr>
          <w:sz w:val="18"/>
        </w:rPr>
        <w:t>A</w:t>
      </w:r>
    </w:p>
    <w:p w:rsidR="00AF3E2F" w:rsidRDefault="00AF3E2F" w:rsidP="00AF3E2F">
      <w:pPr>
        <w:pStyle w:val="PargrafodaLista"/>
        <w:numPr>
          <w:ilvl w:val="0"/>
          <w:numId w:val="3"/>
        </w:numPr>
        <w:tabs>
          <w:tab w:val="left" w:pos="384"/>
        </w:tabs>
        <w:spacing w:line="216" w:lineRule="exact"/>
        <w:ind w:right="137"/>
        <w:rPr>
          <w:sz w:val="18"/>
        </w:rPr>
      </w:pPr>
      <w:proofErr w:type="spellStart"/>
      <w:r w:rsidRPr="00BF677D">
        <w:rPr>
          <w:sz w:val="18"/>
        </w:rPr>
        <w:t>Kajizono</w:t>
      </w:r>
      <w:proofErr w:type="spellEnd"/>
      <w:r w:rsidRPr="00BF677D">
        <w:rPr>
          <w:sz w:val="18"/>
        </w:rPr>
        <w:t xml:space="preserve"> M</w:t>
      </w:r>
      <w:r>
        <w:rPr>
          <w:sz w:val="18"/>
        </w:rPr>
        <w:t xml:space="preserve">, Aoyagi M, Kitamura Y, </w:t>
      </w:r>
      <w:proofErr w:type="spellStart"/>
      <w:r>
        <w:rPr>
          <w:sz w:val="18"/>
        </w:rPr>
        <w:t>Sendo</w:t>
      </w:r>
      <w:proofErr w:type="spellEnd"/>
      <w:r>
        <w:rPr>
          <w:sz w:val="18"/>
        </w:rPr>
        <w:t xml:space="preserve"> T</w:t>
      </w:r>
      <w:r w:rsidRPr="00BF677D">
        <w:rPr>
          <w:sz w:val="18"/>
        </w:rPr>
        <w:t xml:space="preserve"> (2015) Effectiveness of medical supportive team for outpatients treated with </w:t>
      </w:r>
      <w:proofErr w:type="spellStart"/>
      <w:r w:rsidRPr="00BF677D">
        <w:rPr>
          <w:sz w:val="18"/>
        </w:rPr>
        <w:t>sorafenib</w:t>
      </w:r>
      <w:proofErr w:type="spellEnd"/>
      <w:r w:rsidRPr="00BF677D">
        <w:rPr>
          <w:sz w:val="18"/>
        </w:rPr>
        <w:t xml:space="preserve">: a retrospective study. J Pharm Health Care </w:t>
      </w:r>
      <w:proofErr w:type="spellStart"/>
      <w:r w:rsidRPr="00BF677D">
        <w:rPr>
          <w:sz w:val="18"/>
        </w:rPr>
        <w:t>Sci</w:t>
      </w:r>
      <w:proofErr w:type="spellEnd"/>
      <w:r w:rsidRPr="00BF677D">
        <w:rPr>
          <w:sz w:val="18"/>
        </w:rPr>
        <w:t xml:space="preserve"> 1:6.</w:t>
      </w:r>
    </w:p>
    <w:p w:rsidR="00AF3E2F" w:rsidRPr="00D6584C" w:rsidRDefault="00AF3E2F" w:rsidP="00AF3E2F">
      <w:pPr>
        <w:pStyle w:val="PargrafodaLista"/>
        <w:numPr>
          <w:ilvl w:val="0"/>
          <w:numId w:val="3"/>
        </w:numPr>
        <w:tabs>
          <w:tab w:val="left" w:pos="384"/>
        </w:tabs>
        <w:spacing w:line="216" w:lineRule="exact"/>
        <w:ind w:right="137"/>
        <w:rPr>
          <w:sz w:val="18"/>
        </w:rPr>
      </w:pPr>
      <w:proofErr w:type="spellStart"/>
      <w:r w:rsidRPr="005014FC">
        <w:rPr>
          <w:sz w:val="18"/>
        </w:rPr>
        <w:t>Bordonaro</w:t>
      </w:r>
      <w:proofErr w:type="spellEnd"/>
      <w:r w:rsidRPr="005014FC">
        <w:rPr>
          <w:sz w:val="18"/>
        </w:rPr>
        <w:t xml:space="preserve"> S, Romano F, </w:t>
      </w:r>
      <w:proofErr w:type="spellStart"/>
      <w:r w:rsidRPr="005014FC">
        <w:rPr>
          <w:sz w:val="18"/>
        </w:rPr>
        <w:t>Lanteri</w:t>
      </w:r>
      <w:proofErr w:type="spellEnd"/>
      <w:r w:rsidRPr="005014FC">
        <w:rPr>
          <w:sz w:val="18"/>
        </w:rPr>
        <w:t xml:space="preserve"> E, </w:t>
      </w:r>
      <w:proofErr w:type="spellStart"/>
      <w:r w:rsidRPr="005014FC">
        <w:rPr>
          <w:sz w:val="18"/>
        </w:rPr>
        <w:t>Cappuccio</w:t>
      </w:r>
      <w:proofErr w:type="spellEnd"/>
      <w:r w:rsidRPr="005014FC">
        <w:rPr>
          <w:sz w:val="18"/>
        </w:rPr>
        <w:t xml:space="preserve"> F, </w:t>
      </w:r>
      <w:proofErr w:type="spellStart"/>
      <w:r w:rsidRPr="005014FC">
        <w:rPr>
          <w:sz w:val="18"/>
        </w:rPr>
        <w:t>Indorato</w:t>
      </w:r>
      <w:proofErr w:type="spellEnd"/>
      <w:r w:rsidRPr="005014FC">
        <w:rPr>
          <w:sz w:val="18"/>
        </w:rPr>
        <w:t xml:space="preserve"> R, </w:t>
      </w:r>
      <w:proofErr w:type="spellStart"/>
      <w:r w:rsidRPr="005014FC">
        <w:rPr>
          <w:sz w:val="18"/>
        </w:rPr>
        <w:t>Butera</w:t>
      </w:r>
      <w:proofErr w:type="spellEnd"/>
      <w:r w:rsidRPr="005014FC">
        <w:rPr>
          <w:sz w:val="18"/>
        </w:rPr>
        <w:t xml:space="preserve"> A, D'Angelo A, </w:t>
      </w:r>
      <w:proofErr w:type="spellStart"/>
      <w:r w:rsidRPr="005014FC">
        <w:rPr>
          <w:sz w:val="18"/>
        </w:rPr>
        <w:t>Ferraù</w:t>
      </w:r>
      <w:proofErr w:type="spellEnd"/>
      <w:r w:rsidRPr="005014FC">
        <w:rPr>
          <w:sz w:val="18"/>
        </w:rPr>
        <w:t xml:space="preserve"> F, </w:t>
      </w:r>
      <w:proofErr w:type="spellStart"/>
      <w:r w:rsidRPr="005014FC">
        <w:rPr>
          <w:sz w:val="18"/>
        </w:rPr>
        <w:t>Tralongo</w:t>
      </w:r>
      <w:proofErr w:type="spellEnd"/>
      <w:r w:rsidRPr="005014FC">
        <w:rPr>
          <w:sz w:val="18"/>
        </w:rPr>
        <w:t xml:space="preserve"> P (2014) Effect of a structured, active, home-based cancer-treatment program for the management of patients on oral chemotherapy. Patient Prefer Adherence 8:917-923.</w:t>
      </w:r>
    </w:p>
    <w:p w:rsidR="005973B9" w:rsidRDefault="00AF3E2F" w:rsidP="00AF3E2F">
      <w:pPr>
        <w:pStyle w:val="Corpodetexto"/>
        <w:spacing w:before="85" w:line="216" w:lineRule="exact"/>
        <w:ind w:left="383" w:right="138" w:hanging="284"/>
        <w:jc w:val="both"/>
        <w:rPr>
          <w:rFonts w:ascii="Calibri" w:hAnsi="Calibri"/>
        </w:rPr>
      </w:pPr>
      <w:r>
        <w:rPr>
          <w:rFonts w:ascii="Calibri" w:hAnsi="Calibri"/>
        </w:rPr>
        <w:t xml:space="preserve">5. </w:t>
      </w:r>
      <w:r w:rsidRPr="00D6584C">
        <w:rPr>
          <w:rFonts w:ascii="Calibri" w:hAnsi="Calibri"/>
        </w:rPr>
        <w:t xml:space="preserve">Webster-Gandy JD, How C, Harrold K (2007) Palmar-plantar </w:t>
      </w:r>
      <w:proofErr w:type="spellStart"/>
      <w:r w:rsidRPr="00D6584C">
        <w:rPr>
          <w:rFonts w:ascii="Calibri" w:hAnsi="Calibri"/>
        </w:rPr>
        <w:t>erythrodysesthesia</w:t>
      </w:r>
      <w:proofErr w:type="spellEnd"/>
      <w:r w:rsidRPr="00D6584C">
        <w:rPr>
          <w:rFonts w:ascii="Calibri" w:hAnsi="Calibri"/>
        </w:rPr>
        <w:t xml:space="preserve"> (PPE): A literature review with commentary on experience in a cancer center. </w:t>
      </w:r>
      <w:proofErr w:type="spellStart"/>
      <w:r w:rsidRPr="00D6584C">
        <w:rPr>
          <w:rFonts w:ascii="Calibri" w:hAnsi="Calibri"/>
        </w:rPr>
        <w:t>Eur</w:t>
      </w:r>
      <w:proofErr w:type="spellEnd"/>
      <w:r w:rsidRPr="00D6584C">
        <w:rPr>
          <w:rFonts w:ascii="Calibri" w:hAnsi="Calibri"/>
        </w:rPr>
        <w:t xml:space="preserve"> J </w:t>
      </w:r>
      <w:proofErr w:type="spellStart"/>
      <w:r w:rsidRPr="00D6584C">
        <w:rPr>
          <w:rFonts w:ascii="Calibri" w:hAnsi="Calibri"/>
        </w:rPr>
        <w:t>Oncol</w:t>
      </w:r>
      <w:proofErr w:type="spellEnd"/>
      <w:r w:rsidRPr="00D6584C">
        <w:rPr>
          <w:rFonts w:ascii="Calibri" w:hAnsi="Calibri"/>
        </w:rPr>
        <w:t xml:space="preserve"> </w:t>
      </w:r>
      <w:proofErr w:type="spellStart"/>
      <w:r w:rsidRPr="00D6584C">
        <w:rPr>
          <w:rFonts w:ascii="Calibri" w:hAnsi="Calibri"/>
        </w:rPr>
        <w:t>Nurs</w:t>
      </w:r>
      <w:proofErr w:type="spellEnd"/>
      <w:r w:rsidRPr="00D6584C">
        <w:rPr>
          <w:rFonts w:ascii="Calibri" w:hAnsi="Calibri"/>
        </w:rPr>
        <w:t xml:space="preserve"> 11:238-246.</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F3E2F">
        <w:rPr>
          <w:rFonts w:ascii="Arial"/>
          <w:noProof/>
          <w:color w:val="BF5A14"/>
          <w:lang w:val="pt-BR" w:eastAsia="pt-BR"/>
        </w:rPr>
        <w:drawing>
          <wp:inline distT="0" distB="0" distL="0" distR="0" wp14:anchorId="200E94CC" wp14:editId="6A6F1D97">
            <wp:extent cx="474869" cy="612250"/>
            <wp:effectExtent l="0" t="0" r="190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o.jpg"/>
                    <pic:cNvPicPr/>
                  </pic:nvPicPr>
                  <pic:blipFill rotWithShape="1">
                    <a:blip r:embed="rId15" cstate="print">
                      <a:extLst>
                        <a:ext uri="{28A0092B-C50C-407E-A947-70E740481C1C}">
                          <a14:useLocalDpi xmlns:a14="http://schemas.microsoft.com/office/drawing/2010/main" val="0"/>
                        </a:ext>
                      </a:extLst>
                    </a:blip>
                    <a:srcRect b="27013"/>
                    <a:stretch/>
                  </pic:blipFill>
                  <pic:spPr bwMode="auto">
                    <a:xfrm>
                      <a:off x="0" y="0"/>
                      <a:ext cx="478177" cy="616515"/>
                    </a:xfrm>
                    <a:prstGeom prst="rect">
                      <a:avLst/>
                    </a:prstGeom>
                    <a:ln>
                      <a:noFill/>
                    </a:ln>
                    <a:extLst>
                      <a:ext uri="{53640926-AAD7-44D8-BBD7-CCE9431645EC}">
                        <a14:shadowObscured xmlns:a14="http://schemas.microsoft.com/office/drawing/2010/main"/>
                      </a:ext>
                    </a:extLst>
                  </pic:spPr>
                </pic:pic>
              </a:graphicData>
            </a:graphic>
          </wp:inline>
        </w:drawing>
      </w:r>
    </w:p>
    <w:p w:rsidR="00AF3E2F" w:rsidRDefault="00AF3E2F" w:rsidP="00AF3E2F">
      <w:pPr>
        <w:spacing w:before="41" w:line="154" w:lineRule="exact"/>
        <w:ind w:left="213" w:right="231"/>
        <w:jc w:val="both"/>
        <w:rPr>
          <w:rFonts w:ascii="Arial"/>
          <w:sz w:val="14"/>
        </w:rPr>
      </w:pPr>
      <w:proofErr w:type="spellStart"/>
      <w:r w:rsidRPr="00B01F04">
        <w:rPr>
          <w:rFonts w:ascii="Arial"/>
          <w:sz w:val="14"/>
        </w:rPr>
        <w:t>La</w:t>
      </w:r>
      <w:r w:rsidRPr="00B01F04">
        <w:rPr>
          <w:rFonts w:ascii="Arial"/>
          <w:sz w:val="14"/>
        </w:rPr>
        <w:t>í</w:t>
      </w:r>
      <w:r w:rsidRPr="00B01F04">
        <w:rPr>
          <w:rFonts w:ascii="Arial"/>
          <w:sz w:val="14"/>
        </w:rPr>
        <w:t>s</w:t>
      </w:r>
      <w:proofErr w:type="spellEnd"/>
      <w:r w:rsidRPr="00B01F04">
        <w:rPr>
          <w:rFonts w:ascii="Arial"/>
          <w:sz w:val="14"/>
        </w:rPr>
        <w:t xml:space="preserve"> S.</w:t>
      </w:r>
      <w:r>
        <w:rPr>
          <w:rFonts w:ascii="Arial"/>
          <w:sz w:val="14"/>
        </w:rPr>
        <w:t xml:space="preserve"> </w:t>
      </w:r>
      <w:proofErr w:type="spellStart"/>
      <w:r>
        <w:rPr>
          <w:rFonts w:ascii="Arial"/>
          <w:sz w:val="14"/>
        </w:rPr>
        <w:t>Amaral</w:t>
      </w:r>
      <w:proofErr w:type="spellEnd"/>
      <w:r>
        <w:rPr>
          <w:rFonts w:ascii="Arial"/>
          <w:sz w:val="14"/>
        </w:rPr>
        <w:t xml:space="preserve"> has bachelor degree in P</w:t>
      </w:r>
      <w:r w:rsidRPr="00B01F04">
        <w:rPr>
          <w:rFonts w:ascii="Arial"/>
          <w:sz w:val="14"/>
        </w:rPr>
        <w:t>harmacy from University of Campinas, Brazil and is c</w:t>
      </w:r>
      <w:r>
        <w:rPr>
          <w:rFonts w:ascii="Arial"/>
          <w:sz w:val="14"/>
        </w:rPr>
        <w:t>urrently a master's student at P</w:t>
      </w:r>
      <w:r w:rsidRPr="00B01F04">
        <w:rPr>
          <w:rFonts w:ascii="Arial"/>
          <w:sz w:val="14"/>
        </w:rPr>
        <w:t>harmacology at School of Medical Sciences, University of Campinas, Brazil. Her research interests include pharmaceutical care in oncology, adverse drug reactions and biomarkers for adverse events.</w:t>
      </w:r>
    </w:p>
    <w:p w:rsidR="00AE3E37" w:rsidRDefault="00AF3E2F" w:rsidP="00AF3E2F">
      <w:pPr>
        <w:spacing w:before="41" w:line="154" w:lineRule="exact"/>
        <w:ind w:left="213" w:right="231"/>
        <w:jc w:val="center"/>
        <w:rPr>
          <w:rFonts w:ascii="Arial"/>
          <w:sz w:val="14"/>
        </w:rPr>
      </w:pPr>
      <w:r>
        <w:rPr>
          <w:rFonts w:ascii="Arial"/>
          <w:sz w:val="14"/>
        </w:rPr>
        <w:t xml:space="preserve">Email: </w:t>
      </w:r>
      <w:hyperlink r:id="rId16" w:history="1">
        <w:r w:rsidRPr="000C0DE1">
          <w:rPr>
            <w:rStyle w:val="Hyperlink"/>
            <w:rFonts w:ascii="Arial"/>
            <w:sz w:val="14"/>
          </w:rPr>
          <w:t>laissamaral@gmail.com</w:t>
        </w:r>
      </w:hyperlink>
    </w:p>
    <w:p w:rsidR="00AF3E2F" w:rsidRDefault="00292ED9" w:rsidP="00AF3E2F">
      <w:pPr>
        <w:pStyle w:val="Corpodetexto"/>
        <w:spacing w:before="2"/>
        <w:rPr>
          <w:rFonts w:ascii="Minion Pro"/>
          <w:b/>
          <w:sz w:val="20"/>
        </w:rPr>
      </w:pPr>
      <w:r>
        <w:rPr>
          <w:noProof/>
          <w:lang w:val="pt-BR" w:eastAsia="pt-BR"/>
        </w:rPr>
        <mc:AlternateContent>
          <mc:Choice Requires="wps">
            <w:drawing>
              <wp:anchor distT="0" distB="0" distL="0" distR="0" simplePos="0" relativeHeight="1072" behindDoc="0" locked="0" layoutInCell="1" allowOverlap="1" wp14:anchorId="2E95A59D" wp14:editId="3DFF4B2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AF3E2F" w:rsidRDefault="00A9710C" w:rsidP="00AF3E2F">
      <w:pPr>
        <w:pStyle w:val="Corpodetexto"/>
        <w:spacing w:before="2"/>
        <w:rPr>
          <w:rFonts w:ascii="Minion Pro"/>
          <w:b/>
          <w:sz w:val="20"/>
        </w:rPr>
        <w:sectPr w:rsidR="00AE3E37" w:rsidRPr="00AF3E2F">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Corpodetexto"/>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4B7" w:rsidRDefault="000454B7">
      <w:r>
        <w:separator/>
      </w:r>
    </w:p>
  </w:endnote>
  <w:endnote w:type="continuationSeparator" w:id="0">
    <w:p w:rsidR="000454B7" w:rsidRDefault="00045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4B7" w:rsidRDefault="000454B7">
      <w:r>
        <w:separator/>
      </w:r>
    </w:p>
  </w:footnote>
  <w:footnote w:type="continuationSeparator" w:id="0">
    <w:p w:rsidR="000454B7" w:rsidRDefault="000454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54B7"/>
    <w:rsid w:val="000E2911"/>
    <w:rsid w:val="001263DF"/>
    <w:rsid w:val="00292ED9"/>
    <w:rsid w:val="00404E5B"/>
    <w:rsid w:val="00414F7B"/>
    <w:rsid w:val="004355DC"/>
    <w:rsid w:val="004749B4"/>
    <w:rsid w:val="00494130"/>
    <w:rsid w:val="004F3523"/>
    <w:rsid w:val="005973B9"/>
    <w:rsid w:val="005B3A56"/>
    <w:rsid w:val="006060CE"/>
    <w:rsid w:val="0063497F"/>
    <w:rsid w:val="006B1028"/>
    <w:rsid w:val="00873DF0"/>
    <w:rsid w:val="008756E6"/>
    <w:rsid w:val="009B2D44"/>
    <w:rsid w:val="00A07E82"/>
    <w:rsid w:val="00A9710C"/>
    <w:rsid w:val="00AE3E37"/>
    <w:rsid w:val="00AF3E2F"/>
    <w:rsid w:val="00B21A57"/>
    <w:rsid w:val="00B648B4"/>
    <w:rsid w:val="00B86D3A"/>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Colors" Target="diagrams/colors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laissamaral@g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diagramDrawing" Target="diagrams/drawing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CFBA319-35DC-4C73-8FA7-659E2E96E112}" type="doc">
      <dgm:prSet loTypeId="urn:microsoft.com/office/officeart/2005/8/layout/radial3" loCatId="cycle" qsTypeId="urn:microsoft.com/office/officeart/2005/8/quickstyle/simple1" qsCatId="simple" csTypeId="urn:microsoft.com/office/officeart/2005/8/colors/colorful5" csCatId="colorful" phldr="1"/>
      <dgm:spPr/>
      <dgm:t>
        <a:bodyPr/>
        <a:lstStyle/>
        <a:p>
          <a:endParaRPr lang="pt-BR"/>
        </a:p>
      </dgm:t>
    </dgm:pt>
    <dgm:pt modelId="{91E3D0DC-C6EC-452B-94E1-534A1281FCD9}">
      <dgm:prSet phldrT="[Texto]" custT="1"/>
      <dgm:spPr/>
      <dgm:t>
        <a:bodyPr/>
        <a:lstStyle/>
        <a:p>
          <a:r>
            <a:rPr lang="pt-BR" sz="900"/>
            <a:t>Pharmaceutical care</a:t>
          </a:r>
        </a:p>
      </dgm:t>
    </dgm:pt>
    <dgm:pt modelId="{6896961C-B7A6-4AC2-8280-CFC63F55B1C5}" type="parTrans" cxnId="{3F3CD103-9C3D-4033-A4BA-FFD10E979394}">
      <dgm:prSet/>
      <dgm:spPr/>
      <dgm:t>
        <a:bodyPr/>
        <a:lstStyle/>
        <a:p>
          <a:endParaRPr lang="pt-BR"/>
        </a:p>
      </dgm:t>
    </dgm:pt>
    <dgm:pt modelId="{49FFD90C-3B6D-4B4F-84E1-4D0FE456344C}" type="sibTrans" cxnId="{3F3CD103-9C3D-4033-A4BA-FFD10E979394}">
      <dgm:prSet/>
      <dgm:spPr/>
      <dgm:t>
        <a:bodyPr/>
        <a:lstStyle/>
        <a:p>
          <a:endParaRPr lang="pt-BR"/>
        </a:p>
      </dgm:t>
    </dgm:pt>
    <dgm:pt modelId="{3FD78E78-96EF-48A9-81B6-28C9B918B750}">
      <dgm:prSet phldrT="[Texto]" custT="1"/>
      <dgm:spPr/>
      <dgm:t>
        <a:bodyPr/>
        <a:lstStyle/>
        <a:p>
          <a:r>
            <a:rPr lang="pt-BR" sz="600"/>
            <a:t>Knowledge to therapy</a:t>
          </a:r>
        </a:p>
      </dgm:t>
    </dgm:pt>
    <dgm:pt modelId="{DAAB069B-8BD9-4EC8-9CD6-6C7233374BE7}" type="parTrans" cxnId="{45728FCB-C1A9-4ADF-BC9E-753D8692E75A}">
      <dgm:prSet/>
      <dgm:spPr/>
      <dgm:t>
        <a:bodyPr/>
        <a:lstStyle/>
        <a:p>
          <a:endParaRPr lang="pt-BR"/>
        </a:p>
      </dgm:t>
    </dgm:pt>
    <dgm:pt modelId="{B4182501-DE2E-44B2-9983-EFD41D773E08}" type="sibTrans" cxnId="{45728FCB-C1A9-4ADF-BC9E-753D8692E75A}">
      <dgm:prSet/>
      <dgm:spPr/>
      <dgm:t>
        <a:bodyPr/>
        <a:lstStyle/>
        <a:p>
          <a:endParaRPr lang="pt-BR"/>
        </a:p>
      </dgm:t>
    </dgm:pt>
    <dgm:pt modelId="{29146461-75DF-48EE-AB30-2D4C8EC85FE8}">
      <dgm:prSet phldrT="[Texto]" custT="1"/>
      <dgm:spPr/>
      <dgm:t>
        <a:bodyPr/>
        <a:lstStyle/>
        <a:p>
          <a:r>
            <a:rPr lang="pt-BR" sz="600"/>
            <a:t>Symptoms reduction</a:t>
          </a:r>
        </a:p>
      </dgm:t>
    </dgm:pt>
    <dgm:pt modelId="{FB52CABA-D51D-43E8-BF6B-8E3F7578AD19}" type="parTrans" cxnId="{018B31B3-3840-4321-8616-7544BFB2C081}">
      <dgm:prSet/>
      <dgm:spPr/>
      <dgm:t>
        <a:bodyPr/>
        <a:lstStyle/>
        <a:p>
          <a:endParaRPr lang="pt-BR"/>
        </a:p>
      </dgm:t>
    </dgm:pt>
    <dgm:pt modelId="{9ED6EDA9-4217-4BFC-BC1B-DA2EA295F113}" type="sibTrans" cxnId="{018B31B3-3840-4321-8616-7544BFB2C081}">
      <dgm:prSet/>
      <dgm:spPr/>
      <dgm:t>
        <a:bodyPr/>
        <a:lstStyle/>
        <a:p>
          <a:endParaRPr lang="pt-BR"/>
        </a:p>
      </dgm:t>
    </dgm:pt>
    <dgm:pt modelId="{9661225A-17CA-48BE-83A4-52BB62C5D5AC}">
      <dgm:prSet phldrT="[Texto]" custT="1"/>
      <dgm:spPr/>
      <dgm:t>
        <a:bodyPr/>
        <a:lstStyle/>
        <a:p>
          <a:r>
            <a:rPr lang="pt-BR" sz="600"/>
            <a:t>Drug-related problems prevention</a:t>
          </a:r>
        </a:p>
      </dgm:t>
    </dgm:pt>
    <dgm:pt modelId="{53494F4C-FB9F-4C32-B86E-EC831DF134DD}" type="parTrans" cxnId="{632BA357-9B73-46A0-9737-B651FC30959D}">
      <dgm:prSet/>
      <dgm:spPr/>
      <dgm:t>
        <a:bodyPr/>
        <a:lstStyle/>
        <a:p>
          <a:endParaRPr lang="pt-BR"/>
        </a:p>
      </dgm:t>
    </dgm:pt>
    <dgm:pt modelId="{4F203351-3945-451E-A7FC-22AB4AB09CC8}" type="sibTrans" cxnId="{632BA357-9B73-46A0-9737-B651FC30959D}">
      <dgm:prSet/>
      <dgm:spPr/>
      <dgm:t>
        <a:bodyPr/>
        <a:lstStyle/>
        <a:p>
          <a:endParaRPr lang="pt-BR"/>
        </a:p>
      </dgm:t>
    </dgm:pt>
    <dgm:pt modelId="{BDA799DD-A5AE-4033-8C56-8BB50D2ED9D5}">
      <dgm:prSet phldrT="[Texto]" custT="1"/>
      <dgm:spPr/>
      <dgm:t>
        <a:bodyPr/>
        <a:lstStyle/>
        <a:p>
          <a:r>
            <a:rPr lang="pt-BR" sz="600"/>
            <a:t>Cure or delay of a disease process</a:t>
          </a:r>
        </a:p>
      </dgm:t>
    </dgm:pt>
    <dgm:pt modelId="{C4D12B5C-3768-4A78-8D6B-1ABFB8D3356C}" type="parTrans" cxnId="{0E550332-6697-46A4-BDF9-5ACEE43B3FD1}">
      <dgm:prSet/>
      <dgm:spPr/>
      <dgm:t>
        <a:bodyPr/>
        <a:lstStyle/>
        <a:p>
          <a:endParaRPr lang="pt-BR"/>
        </a:p>
      </dgm:t>
    </dgm:pt>
    <dgm:pt modelId="{9A821807-2AF8-413C-98A2-67DDF6BF8FD8}" type="sibTrans" cxnId="{0E550332-6697-46A4-BDF9-5ACEE43B3FD1}">
      <dgm:prSet/>
      <dgm:spPr/>
      <dgm:t>
        <a:bodyPr/>
        <a:lstStyle/>
        <a:p>
          <a:endParaRPr lang="pt-BR"/>
        </a:p>
      </dgm:t>
    </dgm:pt>
    <dgm:pt modelId="{CDF542F3-8212-4046-A201-87AF6B44E96F}" type="pres">
      <dgm:prSet presAssocID="{1CFBA319-35DC-4C73-8FA7-659E2E96E112}" presName="composite" presStyleCnt="0">
        <dgm:presLayoutVars>
          <dgm:chMax val="1"/>
          <dgm:dir/>
          <dgm:resizeHandles val="exact"/>
        </dgm:presLayoutVars>
      </dgm:prSet>
      <dgm:spPr/>
      <dgm:t>
        <a:bodyPr/>
        <a:lstStyle/>
        <a:p>
          <a:endParaRPr lang="pt-BR"/>
        </a:p>
      </dgm:t>
    </dgm:pt>
    <dgm:pt modelId="{57DEED34-7EB7-42C6-839C-F11FD1EF6D55}" type="pres">
      <dgm:prSet presAssocID="{1CFBA319-35DC-4C73-8FA7-659E2E96E112}" presName="radial" presStyleCnt="0">
        <dgm:presLayoutVars>
          <dgm:animLvl val="ctr"/>
        </dgm:presLayoutVars>
      </dgm:prSet>
      <dgm:spPr/>
    </dgm:pt>
    <dgm:pt modelId="{1472453F-994B-4A05-96EC-842567E0DB36}" type="pres">
      <dgm:prSet presAssocID="{91E3D0DC-C6EC-452B-94E1-534A1281FCD9}" presName="centerShape" presStyleLbl="vennNode1" presStyleIdx="0" presStyleCnt="5"/>
      <dgm:spPr/>
      <dgm:t>
        <a:bodyPr/>
        <a:lstStyle/>
        <a:p>
          <a:endParaRPr lang="pt-BR"/>
        </a:p>
      </dgm:t>
    </dgm:pt>
    <dgm:pt modelId="{C584D762-349E-46FC-884D-E7E4E257B6A4}" type="pres">
      <dgm:prSet presAssocID="{3FD78E78-96EF-48A9-81B6-28C9B918B750}" presName="node" presStyleLbl="vennNode1" presStyleIdx="1" presStyleCnt="5">
        <dgm:presLayoutVars>
          <dgm:bulletEnabled val="1"/>
        </dgm:presLayoutVars>
      </dgm:prSet>
      <dgm:spPr/>
      <dgm:t>
        <a:bodyPr/>
        <a:lstStyle/>
        <a:p>
          <a:endParaRPr lang="pt-BR"/>
        </a:p>
      </dgm:t>
    </dgm:pt>
    <dgm:pt modelId="{D903271F-B8C1-4352-A48B-0E470E3C5218}" type="pres">
      <dgm:prSet presAssocID="{29146461-75DF-48EE-AB30-2D4C8EC85FE8}" presName="node" presStyleLbl="vennNode1" presStyleIdx="2" presStyleCnt="5">
        <dgm:presLayoutVars>
          <dgm:bulletEnabled val="1"/>
        </dgm:presLayoutVars>
      </dgm:prSet>
      <dgm:spPr/>
      <dgm:t>
        <a:bodyPr/>
        <a:lstStyle/>
        <a:p>
          <a:endParaRPr lang="pt-BR"/>
        </a:p>
      </dgm:t>
    </dgm:pt>
    <dgm:pt modelId="{70710131-6C11-4C36-A4F5-77350F6A0DB8}" type="pres">
      <dgm:prSet presAssocID="{9661225A-17CA-48BE-83A4-52BB62C5D5AC}" presName="node" presStyleLbl="vennNode1" presStyleIdx="3" presStyleCnt="5">
        <dgm:presLayoutVars>
          <dgm:bulletEnabled val="1"/>
        </dgm:presLayoutVars>
      </dgm:prSet>
      <dgm:spPr/>
      <dgm:t>
        <a:bodyPr/>
        <a:lstStyle/>
        <a:p>
          <a:endParaRPr lang="pt-BR"/>
        </a:p>
      </dgm:t>
    </dgm:pt>
    <dgm:pt modelId="{4472A830-F4BB-495E-A363-3C821A79CEAB}" type="pres">
      <dgm:prSet presAssocID="{BDA799DD-A5AE-4033-8C56-8BB50D2ED9D5}" presName="node" presStyleLbl="vennNode1" presStyleIdx="4" presStyleCnt="5">
        <dgm:presLayoutVars>
          <dgm:bulletEnabled val="1"/>
        </dgm:presLayoutVars>
      </dgm:prSet>
      <dgm:spPr/>
      <dgm:t>
        <a:bodyPr/>
        <a:lstStyle/>
        <a:p>
          <a:endParaRPr lang="pt-BR"/>
        </a:p>
      </dgm:t>
    </dgm:pt>
  </dgm:ptLst>
  <dgm:cxnLst>
    <dgm:cxn modelId="{6305C5DC-B402-409B-9B30-982ECA688E34}" type="presOf" srcId="{3FD78E78-96EF-48A9-81B6-28C9B918B750}" destId="{C584D762-349E-46FC-884D-E7E4E257B6A4}" srcOrd="0" destOrd="0" presId="urn:microsoft.com/office/officeart/2005/8/layout/radial3"/>
    <dgm:cxn modelId="{632BA357-9B73-46A0-9737-B651FC30959D}" srcId="{91E3D0DC-C6EC-452B-94E1-534A1281FCD9}" destId="{9661225A-17CA-48BE-83A4-52BB62C5D5AC}" srcOrd="2" destOrd="0" parTransId="{53494F4C-FB9F-4C32-B86E-EC831DF134DD}" sibTransId="{4F203351-3945-451E-A7FC-22AB4AB09CC8}"/>
    <dgm:cxn modelId="{6B3C7E0C-BA47-4136-9A8F-AD3873B43345}" type="presOf" srcId="{1CFBA319-35DC-4C73-8FA7-659E2E96E112}" destId="{CDF542F3-8212-4046-A201-87AF6B44E96F}" srcOrd="0" destOrd="0" presId="urn:microsoft.com/office/officeart/2005/8/layout/radial3"/>
    <dgm:cxn modelId="{487FE841-AA73-41B4-9588-E82C7CEABC97}" type="presOf" srcId="{BDA799DD-A5AE-4033-8C56-8BB50D2ED9D5}" destId="{4472A830-F4BB-495E-A363-3C821A79CEAB}" srcOrd="0" destOrd="0" presId="urn:microsoft.com/office/officeart/2005/8/layout/radial3"/>
    <dgm:cxn modelId="{3F3CD103-9C3D-4033-A4BA-FFD10E979394}" srcId="{1CFBA319-35DC-4C73-8FA7-659E2E96E112}" destId="{91E3D0DC-C6EC-452B-94E1-534A1281FCD9}" srcOrd="0" destOrd="0" parTransId="{6896961C-B7A6-4AC2-8280-CFC63F55B1C5}" sibTransId="{49FFD90C-3B6D-4B4F-84E1-4D0FE456344C}"/>
    <dgm:cxn modelId="{0E550332-6697-46A4-BDF9-5ACEE43B3FD1}" srcId="{91E3D0DC-C6EC-452B-94E1-534A1281FCD9}" destId="{BDA799DD-A5AE-4033-8C56-8BB50D2ED9D5}" srcOrd="3" destOrd="0" parTransId="{C4D12B5C-3768-4A78-8D6B-1ABFB8D3356C}" sibTransId="{9A821807-2AF8-413C-98A2-67DDF6BF8FD8}"/>
    <dgm:cxn modelId="{59231FDC-0D87-472E-B900-448A7E42A411}" type="presOf" srcId="{9661225A-17CA-48BE-83A4-52BB62C5D5AC}" destId="{70710131-6C11-4C36-A4F5-77350F6A0DB8}" srcOrd="0" destOrd="0" presId="urn:microsoft.com/office/officeart/2005/8/layout/radial3"/>
    <dgm:cxn modelId="{F6A135F5-EB54-4D8C-998C-89B31EDF1A6F}" type="presOf" srcId="{29146461-75DF-48EE-AB30-2D4C8EC85FE8}" destId="{D903271F-B8C1-4352-A48B-0E470E3C5218}" srcOrd="0" destOrd="0" presId="urn:microsoft.com/office/officeart/2005/8/layout/radial3"/>
    <dgm:cxn modelId="{2EC9744F-0D96-45DD-A037-B7CFB8F572DA}" type="presOf" srcId="{91E3D0DC-C6EC-452B-94E1-534A1281FCD9}" destId="{1472453F-994B-4A05-96EC-842567E0DB36}" srcOrd="0" destOrd="0" presId="urn:microsoft.com/office/officeart/2005/8/layout/radial3"/>
    <dgm:cxn modelId="{018B31B3-3840-4321-8616-7544BFB2C081}" srcId="{91E3D0DC-C6EC-452B-94E1-534A1281FCD9}" destId="{29146461-75DF-48EE-AB30-2D4C8EC85FE8}" srcOrd="1" destOrd="0" parTransId="{FB52CABA-D51D-43E8-BF6B-8E3F7578AD19}" sibTransId="{9ED6EDA9-4217-4BFC-BC1B-DA2EA295F113}"/>
    <dgm:cxn modelId="{45728FCB-C1A9-4ADF-BC9E-753D8692E75A}" srcId="{91E3D0DC-C6EC-452B-94E1-534A1281FCD9}" destId="{3FD78E78-96EF-48A9-81B6-28C9B918B750}" srcOrd="0" destOrd="0" parTransId="{DAAB069B-8BD9-4EC8-9CD6-6C7233374BE7}" sibTransId="{B4182501-DE2E-44B2-9983-EFD41D773E08}"/>
    <dgm:cxn modelId="{D630497B-F620-4303-A467-326FCC1529E9}" type="presParOf" srcId="{CDF542F3-8212-4046-A201-87AF6B44E96F}" destId="{57DEED34-7EB7-42C6-839C-F11FD1EF6D55}" srcOrd="0" destOrd="0" presId="urn:microsoft.com/office/officeart/2005/8/layout/radial3"/>
    <dgm:cxn modelId="{1BF6E2D4-5E70-427B-88FA-BB833D5AE1D0}" type="presParOf" srcId="{57DEED34-7EB7-42C6-839C-F11FD1EF6D55}" destId="{1472453F-994B-4A05-96EC-842567E0DB36}" srcOrd="0" destOrd="0" presId="urn:microsoft.com/office/officeart/2005/8/layout/radial3"/>
    <dgm:cxn modelId="{F677A905-151C-4090-A798-BA6E43DFE2F2}" type="presParOf" srcId="{57DEED34-7EB7-42C6-839C-F11FD1EF6D55}" destId="{C584D762-349E-46FC-884D-E7E4E257B6A4}" srcOrd="1" destOrd="0" presId="urn:microsoft.com/office/officeart/2005/8/layout/radial3"/>
    <dgm:cxn modelId="{4853634B-F4AE-41E1-883C-15BAA8D2891A}" type="presParOf" srcId="{57DEED34-7EB7-42C6-839C-F11FD1EF6D55}" destId="{D903271F-B8C1-4352-A48B-0E470E3C5218}" srcOrd="2" destOrd="0" presId="urn:microsoft.com/office/officeart/2005/8/layout/radial3"/>
    <dgm:cxn modelId="{BC71F2E9-AD83-4CE9-B3B8-575E38E499E2}" type="presParOf" srcId="{57DEED34-7EB7-42C6-839C-F11FD1EF6D55}" destId="{70710131-6C11-4C36-A4F5-77350F6A0DB8}" srcOrd="3" destOrd="0" presId="urn:microsoft.com/office/officeart/2005/8/layout/radial3"/>
    <dgm:cxn modelId="{05CEF07F-BBBC-44B4-B485-008F26B23CF4}" type="presParOf" srcId="{57DEED34-7EB7-42C6-839C-F11FD1EF6D55}" destId="{4472A830-F4BB-495E-A363-3C821A79CEAB}" srcOrd="4" destOrd="0" presId="urn:microsoft.com/office/officeart/2005/8/layout/radial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472453F-994B-4A05-96EC-842567E0DB36}">
      <dsp:nvSpPr>
        <dsp:cNvPr id="0" name=""/>
        <dsp:cNvSpPr/>
      </dsp:nvSpPr>
      <dsp:spPr>
        <a:xfrm>
          <a:off x="1055310" y="423427"/>
          <a:ext cx="1054854" cy="1054854"/>
        </a:xfrm>
        <a:prstGeom prst="ellipse">
          <a:avLst/>
        </a:prstGeom>
        <a:solidFill>
          <a:schemeClr val="accent5">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pt-BR" sz="900" kern="1200"/>
            <a:t>Pharmaceutical care</a:t>
          </a:r>
        </a:p>
      </dsp:txBody>
      <dsp:txXfrm>
        <a:off x="1209790" y="577907"/>
        <a:ext cx="745894" cy="745894"/>
      </dsp:txXfrm>
    </dsp:sp>
    <dsp:sp modelId="{C584D762-349E-46FC-884D-E7E4E257B6A4}">
      <dsp:nvSpPr>
        <dsp:cNvPr id="0" name=""/>
        <dsp:cNvSpPr/>
      </dsp:nvSpPr>
      <dsp:spPr>
        <a:xfrm>
          <a:off x="1319023" y="188"/>
          <a:ext cx="527427" cy="527427"/>
        </a:xfrm>
        <a:prstGeom prst="ellipse">
          <a:avLst/>
        </a:prstGeom>
        <a:solidFill>
          <a:schemeClr val="accent5">
            <a:alpha val="50000"/>
            <a:hueOff val="-2483469"/>
            <a:satOff val="9953"/>
            <a:lumOff val="215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pt-BR" sz="600" kern="1200"/>
            <a:t>Knowledge to therapy</a:t>
          </a:r>
        </a:p>
      </dsp:txBody>
      <dsp:txXfrm>
        <a:off x="1396263" y="77428"/>
        <a:ext cx="372947" cy="372947"/>
      </dsp:txXfrm>
    </dsp:sp>
    <dsp:sp modelId="{D903271F-B8C1-4352-A48B-0E470E3C5218}">
      <dsp:nvSpPr>
        <dsp:cNvPr id="0" name=""/>
        <dsp:cNvSpPr/>
      </dsp:nvSpPr>
      <dsp:spPr>
        <a:xfrm>
          <a:off x="2005976" y="687141"/>
          <a:ext cx="527427" cy="527427"/>
        </a:xfrm>
        <a:prstGeom prst="ellipse">
          <a:avLst/>
        </a:prstGeom>
        <a:solidFill>
          <a:schemeClr val="accent5">
            <a:alpha val="50000"/>
            <a:hueOff val="-4966938"/>
            <a:satOff val="19906"/>
            <a:lumOff val="431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pt-BR" sz="600" kern="1200"/>
            <a:t>Symptoms reduction</a:t>
          </a:r>
        </a:p>
      </dsp:txBody>
      <dsp:txXfrm>
        <a:off x="2083216" y="764381"/>
        <a:ext cx="372947" cy="372947"/>
      </dsp:txXfrm>
    </dsp:sp>
    <dsp:sp modelId="{70710131-6C11-4C36-A4F5-77350F6A0DB8}">
      <dsp:nvSpPr>
        <dsp:cNvPr id="0" name=""/>
        <dsp:cNvSpPr/>
      </dsp:nvSpPr>
      <dsp:spPr>
        <a:xfrm>
          <a:off x="1319023" y="1374094"/>
          <a:ext cx="527427" cy="527427"/>
        </a:xfrm>
        <a:prstGeom prst="ellipse">
          <a:avLst/>
        </a:prstGeom>
        <a:solidFill>
          <a:schemeClr val="accent5">
            <a:alpha val="50000"/>
            <a:hueOff val="-7450407"/>
            <a:satOff val="29858"/>
            <a:lumOff val="6471"/>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pt-BR" sz="600" kern="1200"/>
            <a:t>Drug-related problems prevention</a:t>
          </a:r>
        </a:p>
      </dsp:txBody>
      <dsp:txXfrm>
        <a:off x="1396263" y="1451334"/>
        <a:ext cx="372947" cy="372947"/>
      </dsp:txXfrm>
    </dsp:sp>
    <dsp:sp modelId="{4472A830-F4BB-495E-A363-3C821A79CEAB}">
      <dsp:nvSpPr>
        <dsp:cNvPr id="0" name=""/>
        <dsp:cNvSpPr/>
      </dsp:nvSpPr>
      <dsp:spPr>
        <a:xfrm>
          <a:off x="632070" y="687141"/>
          <a:ext cx="527427" cy="527427"/>
        </a:xfrm>
        <a:prstGeom prst="ellipse">
          <a:avLst/>
        </a:prstGeom>
        <a:solidFill>
          <a:schemeClr val="accent5">
            <a:alpha val="50000"/>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pt-BR" sz="600" kern="1200"/>
            <a:t>Cure or delay of a disease process</a:t>
          </a:r>
        </a:p>
      </dsp:txBody>
      <dsp:txXfrm>
        <a:off x="709310" y="764381"/>
        <a:ext cx="372947" cy="372947"/>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633</Words>
  <Characters>3422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Laís</cp:lastModifiedBy>
  <cp:revision>4</cp:revision>
  <dcterms:created xsi:type="dcterms:W3CDTF">2016-12-07T15:53:00Z</dcterms:created>
  <dcterms:modified xsi:type="dcterms:W3CDTF">2017-04-05T19:34:00Z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